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RECURSO EXTRAORDINÁRIO</w:t>
      </w:r>
    </w:p>
    <w:p>
      <w:r>
        <w:rPr>
          <w:i/>
          <w:iCs/>
          <w:color w:val="666666"/>
        </w:rPr>
        <w:t xml:space="preserve">SUPREMO TRIBUNAL FEDERAL</w:t>
      </w:r>
    </w:p>
    <w:p/>
    <w:p/>
    <w:p>
      <w:r>
        <w:t xml:space="preserve">02. PLANO REAL — DISPÕE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CAPíTULO V Da Amortização da Dívida Mobiliária Federal Art. 29. É criado o Fundo de Amortização da Dívida Pública Mobiliária Federal, com a finalidade de amortizar a dívida mobiliária interna do Tesouro Nacional, que será regulamentado pelo Poder Executivo. Art. 30. O Fundo, de natureza contábil, será constituído através de vinculação, mediante prévia e expressa autorização do Presidente da República, a título de depósito: I - de ações preferenciais sem direito de voto pertencentes à União; II - de ações ordinárias ou preferenciais com direito de voto, excedentes ao número necessário à manutenção, pela União, do controle acionário das empresas por ela controladas por disposição legal; III - de ações ordinárias ou preferenciais com direito de voto das empresas controladas pela União em que não haja disposição legal determinando a manutenção desse controle; IV - de ações ordinárias ou preferenciais com direito ou sem direito a voto pertencentes à União, em que esta é minoritária. Parágrafo único. O percentual das ações a ser depositado no Fundo será fixado em decreto do Poder Executivo. Art. 31. O Fundo será gerido pelo Banco Nacional de Desenvolvimento Econômico e Social - BNDES, que promoverá as alienações, mediante delegação da União, observado o disposto no art. 32 desta Lei. Parágrafo único. O BNDES, na qualidade de gestor do Fundo, poderá praticar, em nome e por conta da União, todos os atos necessários à consecução da venda em bolsa, inclusive firmar os termos de transferência das ações alienadas, garantindo ampla divulgação, com a publicação da justificativa e das condições de cada alienação. Art. 32. As ordens de alienação de ações serão expedidas mediante Portaria conjunta dos Ministros de Estado da Fazenda e do Planejamento e Orçamento, que deverá conter o número, espécie e classe de ações a serem alienadas. § 1º As despesas, encargos e emolumentos re lacionados com a alienação das ações serão abatidas do produto da alienação, devendo os valores líquidos ser repassados pelo gestor do Fundo ao Tesouro Nacional, juntamente com o demonstrativo da prestação de contas. § 2º O produto líquido das alienações deverá ser utilizado, especificamente, na amortização de principal atualizado de dívida pública mobiliária interna do Tesouro Nacional e dos respectivos juros, devendo o Ministério da Fazenda publicar quadro resumo, no qual constará a origem dos recursos e a dívida quitada. § 3º Os demonstrativos de prestação de contas relativas a cada alienação de ações, na forma da presente Lei, serão enviados pelo gestor do Fundo ao Tribunal de Contas da União, para apreciação. Art. 33. A amortização da dívida mobiliária interna do Tesouro Nacional, a que se refere o art. 29, poderá, por acordo entre as partes, se dar mediante dação em pagamento de ações depositadas no Fundo. Art. 34. A ordem de dação em pagamento prevista no art. 33 será expedida mediante portaria conjunta dos Ministros de Estado da Fazenda e do Planejamento e Orçamento, a qual estabelecerá o número, espécie e classe das ações, bem assim os critérios de fixação do respectivo preço, levando em conta o valor em bolsa. Art. 35. Ficam excluídas das disposições deste capítulo as empresas incluídas no Programa Nacional de Desestatização, de que trata a Lei nº 8.031, de 12 de abril de 1990. CAPíTULO VI Das Disposições Tributárias Art. 36. A partir de 1º de julho de 1994, ficará interrompida, até 31 de dezembro de 1994, a aplicação da Unidade Fiscal de Referência - UFIR, exclusivamente para efeito de atualização dos tributos, contribuições federais e receitas patrimoniais, desde que os respectivos créditos sejam pagos nos prazos originais previstos na legislação. § 1º No caso de tributos e contribuições apurados em declaração de rendimentos, a interrupção da UFIR abrangerá o período compr eendido entre a data de encerramento do período de apuração e a data de vencimento. § 2º Para os efeitos da interrupção de que trata o caput deste artigo, a reconversão para REAL será efetuada com base no valor da UFIR utilizada para a respectiva conversão. § 3º Aos créditos tributários não pagos nos prazos previstos na legislação tributária aplica-se a atualização monetária pela variação da UFIR, a partir do mês de ocorrência do fato gerador, ou, quando for o caso, a partir do mês correspondente ao término do período de apuração, nos termos da legislação pertinente, sem prejuízo da multa e de acréscimos legais pertinentes. § 4º Aos débitos para com o patrimônio imobiliário da Uni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2026-10-26T07:05:25.311Z</dcterms:created>
  <dcterms:modified xsi:type="dcterms:W3CDTF">2026-10-26T07:05:25.311Z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