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03. PLANO REAL — DISPÕE SOBRE</w:t>
      </w:r>
    </w:p>
    <w:p/>
    <w:p>
      <w:pPr>
        <w:pStyle w:val="Heading2"/>
      </w:pPr>
      <w:r>
        <w:rPr>
          <w:b/>
          <w:bCs/>
        </w:rPr>
        <w:t xml:space="preserve">Ementa</w:t>
      </w:r>
    </w:p>
    <w:p>
      <w:r>
        <w:t xml:space="preserve">CAPíTULO VII Disposições Especiais Art. 65. O ingresso no País e a saída do País, de moeda nacional e estrangeira serão processados exclusivamente através de transferência bancária, cabendo ao estabelecimento bancário a perfeita identificação do cliente ou do beneficiário. § 1º Excetua-se do disposto no caput deste artigo o porte, em espécie, dos valores: I - quando em moeda nacional, até R$ 10.000,00 (dez mil reais); II - quando em moeda estrangeira, o equivalente a R$ 10.000,00 (dez mil reais); III - quando comprovada a sua entrada no País ou sua saída do País, na forma prevista na regulamentação pertinente. § 2º O Conselho Monetário Nacional, segundo diretrizes do Presidente da República, regulamentará o disposto neste artigo, dispondo, inclusive, sobre os limites e as condições de ingresso no País e saída do País da moeda nacional. § 3º A não observância do contido neste artigo, além das sanções penais previstas na legislação específica, e após o devido processo legal, acarretará a perda do valor excedente dos limites referidos no § 1º deste artigo, em favor do Tesouro Nacional. Art. 66. As instituições financeiras e as demais instituições autorizadas a funcionar pelo Banco Central do Brasil, que apresentem insuficiência nos recolhimentos compulsórios ou efetuem saques a descoberto na Conta "Reservas Bancárias", ficam sujeitas aos custos financeiros estabelecidos pelo Banco Central do Brasil, sem prejuízo das cominações legais previstas no art. 44 da Lei nº 4.595, de 31 de dezembro de 1964. Parágrafo único. Os custos financeiros corresponderão, no mínimo, aos da linha de empréstimo de liquidez. Art. 67. As multas aplicadas pelo Banco Central do Brasil, no exercício de sua competência legal, às instituições financeiras e às demais entidades por ele autorizadas a funcionar, bem assim aos administradores dessas instituições e entidades, terão o valor máximo de R$ 100. 000,00 (cem mil REAIS). § 1º O disposto no caput deste artigo não se aplica às infrações de natureza cambial. § 2º O Conselho Monetário Nacional regulamentará a gradação das multas a que se refere o caput deste artigo. Art. 68. Os depósitos das instituições financeiras bancárias mantidos no Banco Central do Brasil e contabilizados na conta "Reservas Bancárias" são impenhoráveis e não responderão por qualquer tipo de dívida civil, comercial, fiscal, previdenciária, trabalhista ou de outra natureza, contraída por essas instituições ou quaisquer outras a elas ligadas. Parágrafo único. A impenhorabilidade de que trata o caput deste artigo não se aplica aos débitos contratuais efetuados pelo Banco Central do Brasil e aos decorrentes das relações das instituições financeiras com o Banco Central do Brasil. Art. 69. A partir de 1º de julho de 1994, fica vedada a emissão, pagamento e compensação de cheque de valor superior a R$ 100,00 (cem REAIS), sem identificação do beneficiário. Parágrafo único. O Conselho Monetário Nacional regulamentará o disposto neste artigo. Art. 70. A partir de 1º de julho de 1994, o reajuste e a revisão dos preços públicos e das tarifas de serviços públicos far-se-ão: I - conforme atos, normas e critérios a serem fixados pelo Ministro da Fazenda; e II - anualmente. § 1º O Poder Executivo poderá reduzir o prazo previsto no inciso II deste artigo. § 2º O disposto neste artigo aplica-se, inclusive, à fixação dos níveis das tarifas para o serviço público de energia elétrica, reajustes e revisões de que trata a Lei nº 8.631, de 4 de março de 1993. Art. 71. Ficam suspensas, até 30 de junho de 1995: I - a concessão de avais e quaisquer outras garantias, para qualquer fim, pelo Tesouro Nacional ou em seu nome; II - a abertura de créditos especiais no Orçamento Geral da União; III - a colocação, por parte dos Órgãos Autônomos, Autarquia s, Empresas Públicas, Sociedades de Economia Mista e Fundações da União, e demais entidades, controladas direta ou indiretamente pela União, de qualquer título ou obrigação no exterior, exceto quando vinculado à amortização de principal corrigido de dívida interna ou externa; IV - a contratação, por parte dos órgãos e entidades mencionados no inciso anterior, de novas operações de crédito interno ou externo, exceto quando vinculada à amortização de principal corrigido de dívida interna ou externa, quando referente a operações mercantis ou quando relativa a créditos externos de entidades oficiais de financiamentos de projetos públicos; V - a conversão, em títulos públicos federais, de créditos oriundos da Conta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2026-07-27T23:39:36.695Z</dcterms:created>
  <dcterms:modified xsi:type="dcterms:W3CDTF">2026-07-27T23:39:36.695Z</dcterms:modified>
</cp:coreProperties>
</file>

<file path=docProps/custom.xml><?xml version="1.0" encoding="utf-8"?>
<Properties xmlns="http://schemas.openxmlformats.org/officeDocument/2006/custom-properties" xmlns:vt="http://schemas.openxmlformats.org/officeDocument/2006/docPropsVTypes"/>
</file>