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88.697</w:t>
      </w:r>
    </w:p>
    <w:p/>
    <w:p>
      <w:r>
        <w:t xml:space="preserve">INTERPOSIÇÃO — CASO EM QUE HOUVE CIÊNCIA INEQUÍVOCA DO ADVOGADO ANTES DA PUBLICAÇÃO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em caso simile, o eminente Ministro RODRIGUES ALCKMIM, ao proferir voto quando do julgamento do RE 88.697 (RTJ 88/1.071) asseverou: "E, no capítulo das liberdades, sempre se admitiu que o ato praticado pela forma não prevista, quando satisfizesse à sua finalidade, não acarretaria a nulidade do processo. Baseado neste princípio é que o Supremo Tribunal Federal tem sempre admitido que o conhecimento inequívoco, revelado pelo Advogado, através da retirada dos autos, marca o início do prazo para recorrer". Ac. de 28-06-1990 Rev. do Sup. Tr. de Justiça - Agosto 1991 - nº 24, pág. 317.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geral estabelece que o prazo para recorrer começa a fluir da data da intimação da sentença (art. 236 c/c 242, ambos do CPC). - A orientação consolidada na jurisprudência, contudo, em casos especialíssimos, admite seja afastada a regra geral, para considerar-se intimada a parte que, antes da publicação, indubitavelmente, haja tomado ciência inequívoca da decisão - por outro meio qualquer.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2026-10-26T05:57:03.782Z</dcterms:created>
  <dcterms:modified xsi:type="dcterms:W3CDTF">2026-10-26T05:57:03.782Z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