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RETENÇÃO POR BENFEITORIAS</w:t>
      </w:r>
    </w:p>
    <w:p>
      <w:r>
        <w:rPr>
          <w:i/>
          <w:iCs/>
          <w:color w:val="666666"/>
        </w:rPr>
        <w:t xml:space="preserve">RENÚNCIA EXPRESSA</w:t>
      </w:r>
    </w:p>
    <w:p/>
    <w:p/>
    <w:p>
      <w:r>
        <w:t xml:space="preserve">QUANDO VIOLA DIREITO LÍQUIDO E CERTO DOS POSSUIDORES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Não tenho os autores feito prova da existência do esbulho e, tendo os réus feito prova da sua inexistência, a liminar de reintegração na posse, contra a qual se voltam os impetrantes, não podia ter sido concedida, pelo Juiz - como o foi - à margem da lei e contra titulares de posse velha, que ocupam a área litigiosa, há muitos e muitos anos. - A concessão da liminar - disse-se naquela oportunidade e repete-se agora - dentro de tal quadro fático, afronta as regras constantes dos artigos 927 e 929 do Código de Processo Civil e constitui violação do direito líquido e certo dos impetrantes, de não serem desalojados do imóvel litigioso, em situação em que a lei não permite a prática do ato de força. - Diante do exposto, a Câmara cassa, em definitivo, a liminar de reintegração na posse, concedida pela autoridade apontada como coatora ... . Ac. de 07-06-1989 Arquivo do EMFOR - TA/2.255 EMFOR 540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concessão de liminar, em ação possessória, sem prova da existência do esbulho e à vista de prova segura da sua inexistência, afronta os comandos emergentes dos artigos 927/929 do Código de Processo Civil, viola direito líquido e certo dos possuidores, de permanecerem, no imóvel, até o julgamento do mérito da causa, e impõe a concessão da segurança, para o fim de impedir a lesão ao direito e para o de afastar a ilegalidade e o abuso de poder.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2026-06-17T15:26:14.070Z</dcterms:created>
  <dcterms:modified xsi:type="dcterms:W3CDTF">2026-06-17T15:26:14.070Z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