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RETENÇÃO POR BENFEITORIAS</w:t>
      </w:r>
    </w:p>
    <w:p>
      <w:r>
        <w:rPr>
          <w:i/>
          <w:iCs/>
          <w:color w:val="666666"/>
        </w:rPr>
        <w:t xml:space="preserve">RENÚNCIA EXPRESSA</w:t>
      </w:r>
    </w:p>
    <w:p/>
    <w:p/>
    <w:p>
      <w:r>
        <w:t xml:space="preserve">QUANDO VIOLA DIREITO LÍQUIDO E CERTO DOS POSSUIDORES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tenho os autores feito prova da existência do esbulho e, tendo os réus feito prova da sua inexistência, a liminar de reintegração na posse, contra a qual se voltam os impetrantes, não podia ter sido concedida, pelo Juiz - como o foi - à margem da lei e contra titulares de posse velha, que ocupam a área litigiosa, há muitos e muitos anos. - A concessão da liminar - disse-se naquela oportunidade e repete-se agora - dentro de tal quadro fático, afronta as regras constantes dos artigos 927 e 929 do Código de Processo Civil e constitui violação do direito líquido e certo dos impetrantes, de não serem desalojados do imóvel litigioso, em situação em que a lei não permite a prática do ato de força. - Diante do exposto, a Câmara cassa, em definitivo, a liminar de reintegração na posse, concedida pela autoridade apontada como coatora ... . Ac. de 07-06-1989 Arquivo do EMFOR - TA/2.255 EMFOR 540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concessão de liminar, em ação possessória, sem prova da existência do esbulho e à vista de prova segura da sua inexistência, afronta os comandos emergentes dos artigos 927/929 do Código de Processo Civil, viola direito líquido e certo dos possuidores, de permanecerem, no imóvel, até o julgamento do mérito da causa, e impõe a concessão da segurança, para o fim de impedir a lesão ao direito e para o de afastar a ilegalidade e o abuso de poder.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2026-10-26T02:41:12.788Z</dcterms:created>
  <dcterms:modified xsi:type="dcterms:W3CDTF">2026-10-26T02:41:12.788Z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