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RETENÇÃO POR BENFEITORIAS</w:t>
      </w:r>
    </w:p>
    <w:p>
      <w:r>
        <w:rPr>
          <w:i/>
          <w:iCs/>
          <w:color w:val="666666"/>
        </w:rPr>
        <w:t xml:space="preserve">RENÚNCIA EXPRESSA</w:t>
      </w:r>
    </w:p>
    <w:p/>
    <w:p/>
    <w:p>
      <w:r>
        <w:t xml:space="preserve">CONCESSÃO DE LIMINAR — REQUISITOS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eminente Vice-Presidente do TJSC, integrando a Câmara de Férias, relatou com fidelidade o núcleo da controvérsia quando sublinhou: "Verifica-se dos autos que, expedida carta com AR pelo 3º Registo de Títulos e Documentos, de São Paulo, consta assinatura de pessoa diversa ". "Com efeito, a devedora não restou inequivocadamente cientificada da mora, não podendo ser surpreendida com a retirada do bem, sem lhe oportunizar o direito de saldar o débito que mantém com a agravada, após regular notificação pessoal". "É da jurisprudência: `Alienação fiduciária - Busca e apreensão - Mora - Carta notificatória não recebida pessoalmente pelo devedor - Ausência de pressuposto de constituição válida e regular do processo - Extinção. `- Para propositura da ação de busca e apreensão de bem vinculado a contrato de alienação fiduciária não basta a mora do devedor, decorrente do inadimplemento da obrigação líquida em seu termo, sendo necessária, também, a sua notificação pessoal, por carta expedida pelo Cartório de Títulos e Documentos' (ApCiv 96.002399-2, e Turvo, rel. Des. Eder Graf, j. 14.06.1996)" (f.). - Realmente, a notificação de f., enviada pelo 3º Registro de Títulos e Documentos de São Paulo, não foi recebida pessoalmente pelo representante legal da empresa arrendatária, Sr. A O J, mas sim por alguém que se identificou apenas por "Vergilina", não se sabendo se é funcionária da agravante, tanto que esta disse tratar-se de "pessoa totalmente desconhecida", e a agravada nada demonstrou em contrário. - Ora, tratando-se de notificação extrajudicial para o estrito fim de consti tuição em mora, é imprescindível que se a faça pessoalmente ao devedor inadimplente, para plena caracterização do esbulho possessório - caso não ocorra o pagamento no prazo estipulado - e conseqüente deferimento da liminar reintegratória. - DAGMA PAULINIO DOS REIS traz a lume precedente aplicável, a saber: "O esbulho em contrato de leasing só se caracteriza quando exaurido o prazo da interpelação ou da notificação, sem pagamento por parte do arrendatário. A cláusula resolutiva expressa, em contrato de leasing, opera a resolução do ajuste pelo inadimplemento absoluto do arrendatário, que se configura quando exaurido o prazo da interpelação ou notificação, sem pagamento (AI 421.624/8, 21.06.1989. 4ª C 1º TACSP, rel. Juiz Amauri Ielo, in JB 152/229)" (in Dicionário Jurisprudencial, 2. ed., RT, 1994, p. 799). - Aplica-se, mutatis mutandis, também este outro julgado, relativo à alienação fiduciária: "Alienação fiduciária - Busca e apreensão - Mora - Ausência de prova do recebimento de carta registrada - Comprovação indispensável frente aos arts. 223, § 1º e 2º, 237, II, e 241, V, do atual CPC, para produzir efeito jurídico - Indeferimento da pretensão mantido" (JTACSP 36/327). - Ou ainda: "Alienação fiduciária - Busca e apreensão - Petição inicial indeferida - Falta de prova de recebimento da carta notificatória pelo devedor, documento imprescindível à prova da resilição do contrato - Aplicação do art. 2º e § 2º do Dec.-lei 911/69. "Conforme se apreende do art. 2º do Dec.-lei 911/69, a mora do devedor é ex re, independentemente, pois, de interpelação judicial e extrajudicial pelo credor: dies interpellat pro homine. Contudo, prevê também mencionado artigo que a mora leva à resilição do contrato, independentemente de declaração judicial. E, para isso, mister se faz carta registrada expedia por intermédio de Cartório de Títulos e Documentos ou protesto do título vinculado ao contrato. "Daí porque imprescindível se faz - ante a conseqüência resilitória - que a intimação, ou a entrega da carta, seja pessoal, isto é, chegue às mãos do devedor inadimplente, efetivamente. É que este documento é que prova a resilição" (RT 659/97). Ac. de 18-03-1997 Revista dos Tribunais - Agosto de 1997 - vol. 742 - pág 385 EMFOR 575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o deferimento de liminar em ação de reintegração de posse de bem objeto de contrato de leasing não basta o inadimplemento do arrendatário, sendo necessário, também, a sua constituição em mora através de notificação pessoal, por carta expedida pelo Cartório de Títulos e Documentos.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2026-10-26T05:59:18.975Z</dcterms:created>
  <dcterms:modified xsi:type="dcterms:W3CDTF">2026-10-26T05:59:18.975Z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