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RETENÇÃO POR BENFEITORIAS</w:t>
      </w:r>
    </w:p>
    <w:p>
      <w:r>
        <w:rPr>
          <w:i/>
          <w:iCs/>
          <w:color w:val="666666"/>
        </w:rPr>
        <w:t xml:space="preserve">RENÚNCIA EXPRESSA</w:t>
      </w:r>
    </w:p>
    <w:p/>
    <w:p>
      <w:r>
        <w:rPr>
          <w:b/>
          <w:bCs/>
        </w:rPr>
        <w:t xml:space="preserve">Recurso: </w:t>
      </w:r>
      <w:r>
        <w:t xml:space="preserve">REsp 28.489-</w:t>
      </w:r>
    </w:p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Julgado em: </w:t>
      </w:r>
      <w:r>
        <w:t xml:space="preserve">07/04/1997</w:t>
      </w:r>
    </w:p>
    <w:p/>
    <w:p>
      <w:r>
        <w:t xml:space="preserve">INDENIZAÇÃO POR ACESSÕES — QUANDO SE LEGITIMA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Para o melhor entendimento da demanda, faço uma retrospectiva dos acontecimentos que a precederam. - A apelada Maria Helena S. D. recebeu, em 29.11.1989, da Sociedade de Habitação do Amazonas - SHAM, a posse sobre um imóvel localizado na Rua 248 n. 9, do Conjunto Cidade Nova, objeto de contrato de compra a prazo firmado pelas partes (f.). - Como é de geral sabença, o Conjunto Cidade Nova foi construído com o objetivo de suprir a demanda por moradias populares, atendendo às necessidades prementes da Capital, em que a habitação, ainda hoje, se constitui em problema de enorme relevância social. - Em vista dessa finalidade, os contratos para aquisição dessas moradias populares previam que os promitentes compradores deveriam ocupá-los no prazo máximo de 30 (trinta) dias, não lhes sendo permitido abandoná-los ou cedê-los a terceiros, ainda que em comodato. Afinal, em tais casos a destinação social dos imóveis estaria sendo deturpada. - A Sra. Maria Helena S. D., contudo, não obedeceu àquelas exigências contratuais e não ocupou o imóvel que acima mencionei. Atendendo a um pedido da Sra. Maria Rosalina S. A., cedeu a esta a posse do imóvel, sob o compromisso de que o devolveria tão logo exigido. Descumpriu, portanto, a vedação de entregar o imóvel a terceiros. - Em abril de 1991, a apelada Maria Helena S. D. ajuizou a ação de reintegração de posse, perante a 9ª Vara Cível da Capital, contra a Sra. Maria Rosalina S. D., argumentando que esta recusava-se a restituir o imóvel que lhe emprestara (f.). - Contestando a ação (f.), Maria Rosalina S. A. alegou que o imóvel reclamado fora objeto de contrato de compra firmado com a SHAM (f.), que lhe outorgara a respectiva posse. Naquela oportunidade, juntou documento emitido pela SHAM (f.), em que se informa que o imóvel fora retomado de Maria Helena S. D.. - Os fatos eram de clareza solar: como Maria Helena S. D. infringiu o contrato, a SHAM providenciou a sua rescisão e retomou o imóvel, transferindo-o a sua ocupante de fato, Sra. Maria Rosalina S. A.. - Do ponto de vista possessório, a posse de Maria Helena S. D. perdeu a legitimidade, tornando-se abusiva e injusta, pois fulcrada no contrato que mantinha com a SHAM, que se extinguiu. De conseqüência, também a posse que Maria Rosalina S. A. exercia, como comodatária, tornou-se injusta. Ocorre que esta, em seguida, firmou contrato de compra com a SHAM. Portanto, a sua posse injusta, como comodatária, transmudou-se em posse justa, como promitente compradora do imóvel. - A questão, portanto, não encerrava grande complexidade. Caberia ao julgador verificar, apenas, se fora regular a rescisão do contrato de Maria Helena S. D.. Para tanto, a SHAM poderia fornecer subsídios decisivos. - O Juiz da 9ª Vara Cível, porém, desprezou as informações que a SHAM poderia oferecer, perdendo a oportunidade de decidir com exatidão. Julgou a ação procedente (f.), argumentando que existiu entre as partes um comodato verbal e que Maria Rosalina S. A. exercia posse precária sobre o imóvel. Na ocasião, o Juiz amparou seu silogismo nos arts. 487 e 497 do CC brasileiro, que tratam de detenção, e não de posse. Esqueceu o ilustre Magistrado que a posse obtida por contrato, como sói ser a natureza do comodato, não é precária. Não enxergou, de outro lado, a transmudação da posse de Maria Rosalina S. A. que, à época do julgamento da ação, possuía o imóvel como promitente compradora, autorizada pela proprietária d o imóvel, a SHAM, e não mais em virtude do comodato. - Maria Rosalina S. A. apelou contra a r. sentença (f.). A SHAM, como terceira prejudicada, também (f.), ressaltando o fato de Maria Helena S. D. ter afrontado o contrato de compra que firmou, ao não ocupá-lo no prazo avençado e ao cedê-lo a outrem. Citou inclusive precedente desta 2ª Câm. Cív. no sentido de que era legal a rescisão do contrato, se o mutuário cede o imóvel a terceiros. Concluiu dizendo que a posse de Maria Rosalina S. A. apresentava-se justa e merecia proteção. - Esta 2ª Câm. Cív. tomou conhecimento dos recursos. Coube ao ilustre Des. Paulo dos Anjos Feitoza relatá-los. Sua Excelência, no entanto, pondo de lado a circunstância de que as posses em análise tinham origem contratual, e que uma delas havia perdido a legitimidade, votou no sentido de improver as apelações, entendendo que Maria Helena S. D. agira altruisticamente, ao emprestar o imóvel a Maria Rosalina S. A., e que não ocupara o imóvel no prazo avençado por motivo de força maior, qual fosse não ter quem cuidasse de seus filh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É do réu o ônus de provar o fato impeditivo, modificativo ou extintivo do direito do autor (CPC, art. 333, II). Assim, não se tendo demonstrado que o possuidor tinha conhecimento do litígio existente sobre o imóvel em que erigiu construções, deve este ser indenizado pelo respectivo valor das acessões (CC, arts. 516 e 548), que, nesse particular, têm tratamento semelhante ao das benfeitorias úteis.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2026-06-17T15:21:23.280Z</dcterms:created>
  <dcterms:modified xsi:type="dcterms:W3CDTF">2026-06-17T15:21:23.280Z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