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>
      <w:r>
        <w:rPr>
          <w:b/>
          <w:bCs/>
        </w:rPr>
        <w:t xml:space="preserve">Julgado em: </w:t>
      </w:r>
      <w:r>
        <w:t xml:space="preserve">06/11/1996</w:t>
      </w:r>
    </w:p>
    <w:p/>
    <w:p>
      <w:r>
        <w:t xml:space="preserve">DIREITO DE RETENÇÃO — INDENIZAÇÃO PELAS BENFEITORIAS NECESSÁRIAS - MOMENTO OPORTUNO PARA DISCUTIR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Observe-se, por fim, que as ações possessórias são procedimentos considerados especiais unitários, ou seja, englobam numa só relação processual, toda a atividade jurisdicional desde a cognição à execução. Inexistindo execução de sentença, como processo separado tendente à entrega de coisa certa, não se aplicam às ações de manutenção e reintegração de posse as regras pertinentes à execução forçada. - Na forma colacionada por HUMBERTO THEODORO JÚNIOR, in Curso de Direito Processual Civil, Procedimentos Especiais, 10ª ed., Forense, 1995, p. 189: "Não há, em suma, nos interditos, instância executória, já que a posse é mantida ou restituída, de plano, ao vencedor da ação, mediante simples expedição de mandado de manutenção ou reintegração. Logo, se o demandado tem benfeitorias a indenizar, e pretende exercer, se cabível, o direito de retenção, há de fazê-lo no curso da ação por meio da contestação, e nunca por via de embargos de retenção após a sentença, porque tais embargos pressupõem, logicamente, a existência de uma execução de sentença, nos moldes da condenação à entrega de coisa certa (art. 744 do CPC)". - Sendo pois, reconhecido com trânsito em julgado a má-fé dos recorrentes; não serem benfeitorias, mas acessões; e não ter sido discutido no processo de conhecimento (ação de reintegração de posse), as noticiadas "benfeitorias" - outra não poderia ser a decisão de 1º grau. - Isto posto, nega-se provimento ao recurso. Julgado em 07-11-1996 Revista dos Tribunais, 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possuidor tem benfeitorias a indenizar e pretende exercer, quando cabível, o direito de retenção, deverá fazê-lo no curso da ação de reintegração de posse por meio de constestação, e nunca via embargos de retenção após a sentença, pois tais embargos pressupõem a existência de uma execução de sentença, nos moldes da condenação à entrega de coisa certa, conforme o disposto no art. 744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2026-10-26T04:57:53.707Z</dcterms:created>
  <dcterms:modified xsi:type="dcterms:W3CDTF">2026-10-26T04:57:53.707Z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