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RETENÇÃO POR BENFEITORIAS</w:t>
      </w:r>
    </w:p>
    <w:p>
      <w:r>
        <w:rPr>
          <w:i/>
          <w:iCs/>
          <w:color w:val="666666"/>
        </w:rPr>
        <w:t xml:space="preserve">RENÚNCIA EXPRESSA</w:t>
      </w:r>
    </w:p>
    <w:p/>
    <w:p>
      <w:r>
        <w:rPr>
          <w:b/>
          <w:bCs/>
        </w:rPr>
        <w:t xml:space="preserve">Recurso: </w:t>
      </w:r>
      <w:r>
        <w:t xml:space="preserve">agravo de instrumento 27.713/85</w:t>
      </w:r>
    </w:p>
    <w:p>
      <w:r>
        <w:rPr>
          <w:b/>
          <w:bCs/>
        </w:rPr>
        <w:t xml:space="preserve">Julgado em: </w:t>
      </w:r>
      <w:r>
        <w:t xml:space="preserve">23/06/1986</w:t>
      </w:r>
    </w:p>
    <w:p/>
    <w:p>
      <w:r>
        <w:t xml:space="preserve">EXISTÊNCIA DESTA PENDENTE DE JULGAMENTO — SE JUSTIFICA A SUSPENSÃO DAQUELA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Trata-se de recurso interposto em ação possessória, sendo, portanto, desta Câmara, por prevenção, a competência para dele conhecer e julgar. - Consoante restou decidido no julgamento do agravo de instrumento nº 27.713/85, por esta mesma Câmara, inexistente conexão ou continência entre ação de usucapião e a de reintegração de posse. - Naquela oportunidade ficou demonstrado serem diversos o objeto e a causa de pedir nas duas ações, posto que na primeira a pretensão visa declaração de domínio, e não a posse. Esta preexistente é a causa de pedir, enquanto na possessória a causa é o esbulho perpetrado pelo réu. - Assim sendo, nada justifica, em realidade, a suspensão do processo, porquanto a sentença de mérito não dependerá do julgamento da outra causa, sequer da declaração de existência ou inexistência da relação jurídica. - Por tais razões, dá-se provimento ao recurso para determinar que o Dr. Juiz a quo prossiga como entender de direito, recusando-se o pedido de uniformização de jurisprudência. Julgado em 24-06-1986 Arquivo do Ementário Forense, TA/722 EMFOR 460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existência de ação de usucapião, pendente de julgamento, não justifica a suspensão do processo da ação de reintegração de posse.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2026-09-10T23:10:55.392Z</dcterms:created>
  <dcterms:modified xsi:type="dcterms:W3CDTF">2026-09-10T23:10:55.392Z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