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Recurso: </w:t>
      </w:r>
      <w:r>
        <w:t xml:space="preserve">re 12</w:t>
      </w:r>
    </w:p>
    <w:p/>
    <w:p>
      <w:r>
        <w:t xml:space="preserve">01. CAPITAL ESTRANGEIRO — APLICAÇÃO DISCIPLINA</w:t>
      </w:r>
    </w:p>
    <w:p/>
    <w:p>
      <w:pPr>
        <w:pStyle w:val="Heading2"/>
      </w:pPr>
      <w:r>
        <w:rPr>
          <w:b/>
          <w:bCs/>
        </w:rPr>
        <w:t xml:space="preserve">Ementa</w:t>
      </w:r>
    </w:p>
    <w:p>
      <w:r>
        <w:t xml:space="preserve">LEI Nº 4.131, DE 26 DE SETEMBRO DE 1962 Disciplina a aplicação do capital estrangeiro e as remessas de valores para o exterior e dá outras providências. Faço saber que o Congresso Nacional decretou, o Presidente da República a sancionou, nos têrmos do § 2° do art. 70 da Constituição Federal, e eu Auro Moura Andrade, Presidente do Senado Federal, promulgo, de acordo com o disposto no § 4° do mesmo artigo da Constituição, a seguinte Lei: Art. 1° - Consideram-se capitais estrangeiros, para os efeitos desta lei, os bens, máquinas e equipamentos, entrados no Brasil sem dispêndio inicial de divisas, destinados à produção de bens ou serviços, bem como os recursos financeiros ou monetários, introduzidos no País, para aplicação em atividades econômicas desde que, em ambas as hipóteses, pertençam a pessoas físicas ou jurídicas residentes, domiciliadas ou com sede no exterior. Art. 2° - Ao capital estrangeiro que se investir no País, será dispensado tratamento jurídico idêntico ao concedido ao capital nacional em igualdade de condições, sendo vedadas quaisquer discriminações não previstas na presente lei. Do registro dos capitais, remessas e reinvestimentos Art. 3° - Fica instituído, na Superintendência da Moeda e do Crédito, um serviço especial de registro de capitais estrangeiros, qualquer que seja sua forma de ingresso no País, bem como de operações financeiras com o exterior, no qual serão registrados: a) os capitais estrangeiros que ingressarem no País sob a forma de investimento direto ou de empréstimo, quer em moeda, quer em bens; b) as remessas feitas para o exterior com o retorno de capitais ou como rendimentos desses capitais, lucros, dividendos, juros, amortizações, bem como as de "royalties", de pagamento de assistência técnica, ou por qualquer outro título que implique transferência de rendimentos para fora do País; c) os reinvestimentos de lucros dos capitais estrangeiros; d) as alterações do valor monetário do capital das empresas procedidas de acordo com a legislação em vigor. Parágrafo único. O registro dos reinvestimentos a que se refere a letra "c" será devido, ainda que se trate de pessoa jurídica com sede no Brasil mas filiada a empresas estrangeiras ou controladas por maioria de ações pertencentes a pessoas físicas ou jurídicas com residência ou sede no estrangeiro. Art. 4° - O registro de capitais estrangeiros será efetuado na moeda do país de origem, e o de reinvestimento de lucros simultaneamente em moeda nacional e na moeda do país para o qual poderiam ter sido remetidos, realizada a conversão à taxa cambial do período durante o qual foi comprovadamente efetuado o reinvestimento. Parágrafo único. Se o capital for representado por bens, o registro será feito pelo seu preço no país de origem ou, na falta de comprovantes satisfatórios, segundo os valores apurados na contabilidade da empresa receptora do capital ou ainda pelo critério de avaliação que for determinado em regulamento. Art. 5° - O registro do investimento estrangeiro será requerido dentro de trinta dias da data de seu ingresso no País e independente do pagamento de qualquer taxa ou emolumento. No mesmo prazo, a partir da data da aprovação do respectivo registro contábil, pelo órgão competente da empresa, proceder-se-á ao registro dos reinvestimentos de lucros. § 1° - Os capitais estrangeiros e respectivos reinvestimentos de lucros já existentes no País, também estão sujeitos a registro, o qual será requerido por seus proprietários ou responsáveis pelas empresas em que estiverem aplicados dentro do prazo de 180 (cento e oitenta) dias, da data da publicação desta lei. § 2° - O Conselho da Superintendência da Moeda e do Crédito determinará quais os comprovantes a serem exigidos para concessão do registro dos capitais de que trata o parágrafo anterior. Art. 6° - A Superintendência da Moeda e do Crédito tomará a s providências necessárias para que o registro dos dados a que se referem os artigos anteriores seja mantido atualizado, ficando as empresas obrigadas a prestar as informações que ela lhes solicitar. Art. 7° - Consideram-se reinvestimentos, para os efeitos desta lei, os rendimentos auferidos por empresas estabelecidas no País e atribuídos a residentes e domiciliados no exterior, e que forem reaplicados nas mesmas empresas de que procedem ou em outro setor da economia nacional. Das remessas de juros, "Royalties" e por assistência técnica Art. 8° - As remessas de juros de empréstimos, créditos e financiamentos serão consideradas como amortiz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2026-06-17T16:29:01.174Z</dcterms:created>
  <dcterms:modified xsi:type="dcterms:W3CDTF">2026-06-17T16:29:01.174Z</dcterms:modified>
</cp:coreProperties>
</file>

<file path=docProps/custom.xml><?xml version="1.0" encoding="utf-8"?>
<Properties xmlns="http://schemas.openxmlformats.org/officeDocument/2006/custom-properties" xmlns:vt="http://schemas.openxmlformats.org/officeDocument/2006/docPropsVTypes"/>
</file>