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/>
    <w:p>
      <w:r>
        <w:t xml:space="preserve">PRAZO DE DEZ DIAS — INÍCIO A PARTIR DO DESPACHO QUE MANDA SUBIREM OS AUTOS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assiste razão ao agravante, pois no Estado do Rio de Janeiro, o valor do preparo do recurso é fixo, independendo de remessa dos autos ao contador para elaboração da conta, conforme prevê o art. 519, do Código de Processo Civil. - Verifica-se que o agravante foi intimado do despacho, para preparar o recurso, correndo o prazo "in albis" sem qualquer diligência sua. - Incensurável a decisão. Ac. de 21.04.1988 Arquivo do EMFOR - TA/1.033 EMFOR 493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Estado do Rio de Janeiro, em que não há necessidade de remessa dos autos ao contador, basta o despacho mandando subir, para que se conte o prazo de dez dias dentro do qual deve o recorrente efetuar o preparo. Desnecessidade de intimação da conta.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2026-10-26T03:03:55.636Z</dcterms:created>
  <dcterms:modified xsi:type="dcterms:W3CDTF">2026-10-26T03:03:55.636Z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