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RETENÇÃO POR BENFEITORIAS</w:t>
      </w:r>
    </w:p>
    <w:p>
      <w:r>
        <w:rPr>
          <w:i/>
          <w:iCs/>
          <w:color w:val="666666"/>
        </w:rPr>
        <w:t xml:space="preserve">RENÚNCIA EXPRESSA</w:t>
      </w:r>
    </w:p>
    <w:p/>
    <w:p>
      <w:r>
        <w:rPr>
          <w:b/>
          <w:bCs/>
        </w:rPr>
        <w:t xml:space="preserve">Recurso: </w:t>
      </w:r>
      <w:r>
        <w:t xml:space="preserve">REsp 6.132/</w:t>
      </w:r>
    </w:p>
    <w:p/>
    <w:p>
      <w:r>
        <w:t xml:space="preserve">A QUALQUER TEMPO ANTES DA ARREMATAÇÃO OU ADJUDICAÇÃO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distinção feita pelo ilustre Juiz quanto ao ato de "remir os bens" e "remir a dívida" foi analisada por HUMBERTO THEODORO JÚNIOR, em, seu "Processo de Execução", 7ª ed., Leud, 1983, pág. 429, "verbis": "Deve-se distinguir entre remição da execução (art. 651) e remição de bens (art. 787). Ambos são institutos liberatórios específicos da execução por quantia certa e atual sobre a constrição patrimonial". E continua: "remição da execução é, porém, o resgate da dívida exequenda, mediante o pagamento ou depósito do principal, mais custas, juros e honorários advocatícios, o que é motivo de extinção do processo (art. 794, I) e pode-se dar a todo tempo, antes da arrematação ou adjudicação dos bens penhorados (art. 651). Libera a penhora em razão do desaparecimento do próprio processo executivo". - Já a remição de bens "é forma apenas de "salvar" da alienação forçada a estranhos os bens penhorados", conforme acentua AMÍLCAR DE CASTRO, "apud" HUMBERTO THEODORO JÚNIOR, ob. cit., pág. 429. - A remição de bens "consiste na liberação dos bens penhorados, feita pelo cônjuge, o descendente ou o ascendente do devedor, após a arrematação ou adjudicação (mas antes da assinatura do auto ou publicação da sentença), mediante depósito do processo por que foram alienados ou adjudicados. O direito a essa liberação é assegurado pelo art. 787" (CPC - HUMBERTO T. JÚNIOR, ob. cit., pág. 430). - No caso, o pedido é de remição da execução, tanto que o agravante invoca a disposição do art. 794, I, do CPC. - Dispõe o art. 693 do CPC que "a arrematação constará de auto, q ue será lavrado vinte e quatro horas depois de realizada a praça ou o leilão". "O prazo de vinte e quatro horas foi instituído para que pudesse ser exercido o direito de remição, previsto nos arts. 651 e 788 (RTJ, 94/386, especialmente pág. 392). Se nesse prazo o executado saldar o débito ficará desfeita a arrematação (RJTJESP, 107/402 - "in" CPC e Legislação Processual em Vigor", 19ª ed., RT, 1989, p. 342). - Antes da arrematação ou da adjudicação de bens, "pode o devedor, a todo tempo, remir a execução..." (art. 651). - Não há dúvida, portanto, de que é direito do agravante-devedor "remir a execução", mas "esse direito pode ser exercitado até a assinatura dos autos de arrematação ou adjudicação, ou da publicação da "sentença" de adjudicação (arts. 694 e 715)" - "in" CPC Anotado, 3ª ed., For., 1986, pág. 294, de SÁLVIO DE FIGUEIREDO TEIXEIRA. - Na lição de HUMBERTO THEODORO JÚNIOR, "são admitidos a remir a execução tanto o devedor (art. 651 do CPC), como qualquer terceiro, interessado ou não (art. 930 e parágrafo único, do Cód. Civil)" - ob. cit., pág. 429. - E o agravante exercitou esse direito antes do prazo de vinte e quatro horas para a assinatura do auto de arrematação, como o reconhece às expressas o ilustre Juiz: "no último minuto antes de completadas as vinte e quatro horas (24) da praça, veio a petição do executado pleiteando a remição e a conseqüente liquidação da obrigação exequenda..." - Por tais motivos, dá-se o provimento ao recurso para o fim pretendido. Ac. de 23-03-1995 Jurisprudência Mineira - Janeiro a Março de 1995 - Vol. 131 - Pág. 137 EMFOR 564 EMENTA: - É ilícito ao filho de sócio da pessoa jurídica executada, remir bens arrematados em hasta pública. RESUMO DO ACÓRDÃO: - A Terceira Turma desta Corte, conduzida pelo Ministro WALDEMAR ZVEITER, decidiu: "I. Pode o filho de sócio de empresa executada remir bens levados à praça. II. Benefício criado "pietatis causa" para permitir que, em condições de igualdade, o bem penhorado se transfira para membro da família do devedor e não para estranhos, sem prejudicar, no entanto, a execução. Inteligência do art. 787, do CPC" (REsp 6.132/PR). - Este acórdão formou-se, por unanimidade, a partir de primoroso voto do Relator, nestas palavras: "O ponto em que controverte é saber se pode ou não, filho de sócio de empresa executada, remir bens arrematados. A matéria não é pacífica na jurisprudência dos nossos tribunais. Mas estou em que a melhor orientação é a que admite poderem o cônjuge, descendentes ou os ascendentes de sócio de pessoa jurídica executada, remir bens praceados, tal como a hipótese dos autos. - A propósito do tema, colhe-se do magistério de PONTES DE MIRANDA a seguinte lição: "Hoje, a remição é denúncia, pois que se diz quem tem o direito de remir; não fica ao arbítrio do juiz. O pedido de remição é feito antes de se assinar o auto de arrematação, em praça ou leilão, ou de se publicar a sentença de adjudica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Deve ser deferido o pedido de remição, em autos de execução de alimentos, com base no art. 651 do CPC, se, minutos antes de completadas as vinte e quatro horas para a assinatura do auto de arrematação, o executado, através de petição, exercita esse direito, demonstrando, via comprovante, a liquidação da obrigação exequenda.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2026-09-11T00:10:27.587Z</dcterms:created>
  <dcterms:modified xsi:type="dcterms:W3CDTF">2026-09-11T00:10:27.587Z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