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RESPONSABILIDADE CIVIL</w:t>
      </w:r>
    </w:p>
    <w:p>
      <w:r>
        <w:rPr>
          <w:i/>
          <w:iCs/>
          <w:color w:val="666666"/>
        </w:rPr>
        <w:t xml:space="preserve">ABALROAMENTO DE VEÍCULOS</w:t>
      </w:r>
    </w:p>
    <w:p/>
    <w:p/>
    <w:p>
      <w:r>
        <w:t xml:space="preserve">COLISÃO POR TRÁS — PRESUNÇÃO DE CULPA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Presume-se culpado o motorista do veículo que bate na traseira de outro. A simples observância de dever elementar de guardar distância entre os veículos é suficiente para evitar colisões deste tipo, salvo situações excepcionais, não existentes no presente caso. Procurou o motorista do caminhão eximir-se de culpa, alegando que teve a visão ofuscada pelo farol de carro que vinha em sentido contrário. Contudo, o exame dos autos não confirma a versão. Na mão contrária estava parado um automóvel acidentado, o qual mantinha aceso tão só o pisca-pisca, exatamente para servir de alerta. Diante desse obstáculo, o autor diminuiu a marcha de seu automóvel, sendo neste instante abalroado. Ac. de 01-11-1988 Arquivo do EMFOR - TA/1.084 EMFOR 501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colisão por trás faz presumir desatendimento do dever de guardar distância entre os veículos.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2026-09-11T00:11:34.865Z</dcterms:created>
  <dcterms:modified xsi:type="dcterms:W3CDTF">2026-09-11T00:11:34.865Z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