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/>
    <w:p>
      <w:r>
        <w:t xml:space="preserve">COLISÃO NA TRASEIRA — PRESUNÇÃO DE CULPA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Presume-se culpado o motorista do veículo que bate na traseira de outro. A simples observância do dever elementar de guardar distância entre os veículos é suficiente para evitar colisões deste tipo, salvo situações excepcionais, não existentes no presente caso. Ac. de 01-11-1988 Arquivo do EMFOR - TA/240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colisão por trás faz presumir desatendimento do dever de guardar distância entre os veículos.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2026-07-27T22:50:20.334Z</dcterms:created>
  <dcterms:modified xsi:type="dcterms:W3CDTF">2026-07-27T22:50:20.334Z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