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AP. 95.826</w:t>
      </w:r>
    </w:p>
    <w:p>
      <w:r>
        <w:rPr>
          <w:b/>
          <w:bCs/>
        </w:rPr>
        <w:t xml:space="preserve">Relator: </w:t>
      </w:r>
      <w:r>
        <w:t xml:space="preserve">ANAUDIM FREITAS</w:t>
      </w:r>
    </w:p>
    <w:p>
      <w:r>
        <w:rPr>
          <w:b/>
          <w:bCs/>
        </w:rPr>
        <w:t xml:space="preserve">Julgado em: </w:t>
      </w:r>
      <w:r>
        <w:t xml:space="preserve">21/08/1985</w:t>
      </w:r>
    </w:p>
    <w:p/>
    <w:p>
      <w:r>
        <w:t xml:space="preserve">CARRO ESTACIONADO IRREGULARMENTE — SE EXCLUI A RESPONSABILIDADE DO ABALROADOR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O estacionamento irregular do veículo é ilícito administrativo que não elide a culpa do motorista que trafega no local e vêm a causar acidente envolvendo outros veículos", (1º TA - RJ - Ac. Unân. da 1ª Câm. de 09.11.83 - AP. 95.826 - Rel. Juiz ANAUDIM FREITAS...). - Pois que o fato de o veículo abalroado estar estacionado em local proibido, não exime o causador do dano da obrigação de indenizar. Sua culpa resulta do direito civil - a obrigação de indenizar a quem causou prejuízo. O fato de algum carro estar irregularmente estacionado, sujeita seu proprietário a multa por infração administrativa - outro assunto, que nada tem a ver com a culpa civil, no caso, autônoma e decisiva, do causador do dano. - Participou do julgamento com voto vencedor, o Exmo. Des. JOÃO MARTINS. Julgado em 22-08-1985 Jurisprudência Catarinense, 4º Trimestre 85 - Vol. 50 - Pág. 136 NO MESMO SENTIDO: Apelação nº 175.835 Tr. Just. S. Paulo - 1ª C, Relator: JONAS VILHENA, ac. de 30.12.68 e Apelação nº 21.594, Tr. Alçada Guanabara - 6ª C, Relator: ORLANDO MOREIRA, ac. de 09.08.72, "in" "EMFOR", Ns. 262 e 296.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estacionamento irregular do veículo é ilícito administrativo. Motorista que trafega pelo local e causa acidente com o veículo estacionado irregularmente, tem culpa autônoma e decisiva, não podendo, para isentar-se de responsabilidade, alegar o estacionamento irregular do veículo parado, cujo proprietário é sujeito unicamente a multa regulamentar.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2026-07-27T22:49:22.104Z</dcterms:created>
  <dcterms:modified xsi:type="dcterms:W3CDTF">2026-07-27T22:49:22.104Z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