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RESPONSABILIDADE CIVIL</w:t>
      </w:r>
    </w:p>
    <w:p>
      <w:r>
        <w:rPr>
          <w:i/>
          <w:iCs/>
          <w:color w:val="666666"/>
        </w:rPr>
        <w:t xml:space="preserve">ABALROAMENTO DE VEÍCULOS</w:t>
      </w:r>
    </w:p>
    <w:p/>
    <w:p/>
    <w:p>
      <w:r>
        <w:t xml:space="preserve">PRAZO DE DECADÊNCIA — CÓDIGO BRASILEIRO DO AR</w:t>
      </w:r>
    </w:p>
    <w:p/>
    <w:p>
      <w:pPr>
        <w:pStyle w:val="Heading2"/>
      </w:pPr>
      <w:r>
        <w:rPr>
          <w:b/>
          <w:bCs/>
        </w:rPr>
        <w:t xml:space="preserve">Resumo</w:t>
      </w:r>
    </w:p>
    <w:p>
      <w:r>
        <w:t xml:space="preserve">- ... No caso, a regra a ser observada é o artigo 150, do Código Brasileiro do Ar, vigente ao tempo da propositura da ação e não do Código Civil, já que aquele, como lei especial, tem preponderância sobre este. - Como aludido artigo fixava em dois anos, contados da data em que se verificou o prazo decadencial para que o interessado buscasse os seus direitos, é claro que, na hipótese hora em exame, o direito de ação do apelado foi atingido pela decadência, ante o que se contém no supra mencionado dispositivo legal como em face do estabelecido no parágrafo 1º do artigo 219, do Código de Processo Civil. - Em conseqüência, acolhe-se a preliminar argüida pela apelante, para julgar extinto o processo do julgamento de mérito, em consonância com a regra do artigo 269, do inciso 4º, do Código de Processo Civil, invertidos os ônus da sucumbência. Ac. de 19-08-1987 Arquivo do EMFOR - TA/806 EMFOR 471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As ações de indenizações por acidente aeronáutico obedecem ao prazo decadencial do Código Brasileiro do Ar e não as do Código Civil. (Ementa do EMFOR)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2026-09-11T00:09:31.155Z</dcterms:created>
  <dcterms:modified xsi:type="dcterms:W3CDTF">2026-09-11T00:09:31.155Z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