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CIVIL</w:t>
      </w:r>
    </w:p>
    <w:p>
      <w:r>
        <w:rPr>
          <w:i/>
          <w:iCs/>
          <w:color w:val="666666"/>
        </w:rPr>
        <w:t xml:space="preserve">ABALROAMENTO DE VEÍCULOS</w:t>
      </w:r>
    </w:p>
    <w:p/>
    <w:p>
      <w:r>
        <w:rPr>
          <w:b/>
          <w:bCs/>
        </w:rPr>
        <w:t xml:space="preserve">Julgado em: </w:t>
      </w:r>
      <w:r>
        <w:t xml:space="preserve">20/01/1997</w:t>
      </w:r>
    </w:p>
    <w:p/>
    <w:p>
      <w:r>
        <w:t xml:space="preserve">DIREÇÃO DE VEÍCULO EM ALTA VELOCIDADE E EMBRIAGADO — PRESUNÇÃO DE CULPA CARACTERIZADA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Como se sabe, há dispositivos legais que estabelecem expressamente a dispensa do ônus da prova, assim como há os que admitem impor presunções de culpa ao responsável, ensejando assim oportunidade à jurisprudência reconhecê-los (cf. a., op. e p. cit.). - Como não é disso que se trata no caso vertente, faz-se necessário recorrer, portanto, aos fatos da causa, analisá-los com prudente arbítrio e procurar verificar a quem a situação de normalidade favoreceria. - Ora, tratava-se de horário de pouco movimento e, como de ordinário acontece, com raro trânsito de veículos. A situação de normalidade favorecia a vítima. - Entretanto, é impossível desmentir que imoderada a aceleração que o condutor imprimia ao veículo atropelante; a prova pericial comprovou seu estado de embriaguez. Cabia ao apelante, desfavorecido pela normalidade dos fatos, oferecer prova cabal da culpa exclusiva da vítima. E isso não foi feito. - O recurso adesivo não poderá ser inteiramente agasalhado. Julgado em 21-01-1997 Revista dos Tribunais, Julho de 1997, vol. 741, pág. 294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Em acidente de trânsito, não comprovada a culpa exclusiva da vítima, esta é atribuída ao condutor do veículo que, além de embriagado, imprimia velocidade inadequada ao conduzido em horário de pouco movimento e com raro trânsito de veículos, sendo que tal situação de normalidade favorece integralmente a vítima do acidente.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2026-10-26T01:58:24.932Z</dcterms:created>
  <dcterms:modified xsi:type="dcterms:W3CDTF">2026-10-26T01:58:24.932Z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