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 64.771</w:t>
      </w:r>
    </w:p>
    <w:p/>
    <w:p>
      <w:r>
        <w:t xml:space="preserve">DEPENDÊNCIA ECONÔMICA — FALTA - DIREITO A VERBAS DE DANO MORAL, FUNERAL E SEPULTURA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está comprovada a dependência econômica dos autores em relação à vitima, de vinte e dois anos, que ganhava salário mínimo, e que tinha uma companheira. Porém, os pais da vítima, ora apelantes, tem inegável direito às verbas de funeral e sepultura, levando em conta a condição social da vítima. Não tendo os autores direito à indenização por dano patrimonial, por não haver prova da dependência econômica, resta a questão do dano moral. "Grande número de juristas - escrevemos em nossos elementos de Direito Civil (1969) - negam a reparabilidade desse dano. Pensam que, sendo, geralmente, impossível a restituição do bem lesado a seu estado anterior, ser impossível a reparação". Nesse caso, admitem, em ocorrendo reflexos patrimoniais, a indenização. Todavia, tal solução, parece-nos deixar sem reparação o dano moral , indenizando em verdade, os seus reflexos patrimoniais, ou seja, danos patrimoniais produzidos pela ofensa moral. Dessa forma, essa corrente mantém-se na negativa da reparação do dano moral". Grande número de julgados segue essa orientação. - Mas, há os que, reconhecendo a dificuldade da estimação em dinheiro da ofensa moral, admitem a possibilidade da indenização, por ser melhor reparação aquém do dano do que não indenizar. ROTONDI, logo após a guerra (Istituzioni di diritto privato), segue esse caminho. Essa orientação atende mais às exigências da justiça e à tendência do direito moderno de ampliar o campo da responsabilidade civil em um mundo em que, cada vez mais, a pessoa está exposta a grandes riscos e perigos e em que está sujeita a ofensas, sofrimentos, causados seja pelos meios de comunicação de massa, seja pelos progresso s tecnológicos, seja pelo ritmo incontrolável da industrialização, dos serviços e obras, em luta contra o tempo. Assim, o "dano moral - escrevemos em 1969 - apesar de não admitir integral e perfeita reparação, não deve por isso, deixar de ser ressarcido. É melhor que a estimação não corresponda perfeitamente ao dano do que não haver reparação." - Essa é a solução mais compatível com o princípio do direito moderno: todo dano deve ser reparado. - Estabelecidas essas premissas, vejamos se os autores, com a morte do filho, sofreram dano moral. - Ora, não há bem maior do que a vida, principalmente, por egoísmo, a nossa, e por amor paternal, a de um filho. A dor causada pela morte de um filho, cuja a existência foi abreviada, no presente caso, ao alcançar a maioridade, é muito grande. Filho, como todo pai sabe, exige em sua criação enormes sacrifícios, noites maldormidas, gastos com vestuário, alimentação e medicamentos, além das preocupações e cuidados. A morte, nesse caso é um futuro que não mais tem os autores; é a perpetuação da família na pessoa do filho, impossibilitada com sua morte; é o investimento perdido na prole, usual nas famílias da classe operária, pois nessas famílias há auxílio mútuo; é a expectativa de os pais na velhice não sofrerem solidão, tendo a companhia do filho, lei natural da vida, cortada pela morte. É a dor, inconsolável, que não tem preço, a reparação desse dano pode ser estabelecida aproximadamente, por arbitramento, não apagando, é certo, o sofrimento, mas pelo menos, proporcionando situações que o atenuem, não ficando os criadores de riscos, de situações de perigo, os imprudentes ou negligentes, sem responder por suas faltas, principalmente, quando causarem sofrimento cruel, lesando bem jurídico, dentre os quais, o mais valioso, a vida humana, como ocorreu nesse caso. - Ora, os autores como pais da vítima, sofreram dano moral, dor que, se não tem preço certo, pode ser atenuada com a inden ização". - Eis por que a Câmara reconhece, seguindo a trilha de vários julgados (Rev. Forense, vol. 24, p. 473, idem, vol. 127; p. 397; RTJ; vol. 56; p. 784, RE 64.771 - GB, RTJ, vol. 34/716, vol. 39, p. 112; deste Egrégio Tr., Apel. Cíveis nº 30.370/84, relator Des. OLAVO TOSTES FILHO, 34.212/84, do mesmo relator, ns . 27.941/83, rel. Des. PAULO PINTO, 36.062/85, do mesmo rel. 33.804/85, rel. Des. ÁUREA PIMENTEL, 35.087/85, rel. Des. PENALVA SANTOS e do E. Trib. de Alçada, 77.908, relator então Juiz SEVERO DA COSTA), o direito desses autores à reparação do dano moral, que sofreram com a morte de seu filho, causada por imprudência de preposto da ré. - Eis as razões de a Câmara dar provimento parcial ao recurso, para julgar procedente, em parte, a ação, condenando a ré a pagar indenização, a ser, em liquidação, apurada, por arbitramento, das verbas de funeral e sepul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não havendo dependência econômica entre a vítima e os autores, tem estes legitimidade ativa "ad causam" para pleitear as verbas de dano moral, funeral e sepultura, desde que comprovado a culpa grave ou dolo do empregador.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2026-10-26T02:00:14.544Z</dcterms:created>
  <dcterms:modified xsi:type="dcterms:W3CDTF">2026-10-26T02:00:14.544Z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