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CIVIL</w:t>
      </w:r>
    </w:p>
    <w:p>
      <w:r>
        <w:rPr>
          <w:i/>
          <w:iCs/>
          <w:color w:val="666666"/>
        </w:rPr>
        <w:t xml:space="preserve">ABALROAMENTO DE VEÍCULOS</w:t>
      </w:r>
    </w:p>
    <w:p/>
    <w:p/>
    <w:p>
      <w:r>
        <w:t xml:space="preserve">ESTACIONAMENTO PAGO — DEVER DE INDENIZAR - CARACTERIZAÇÃO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exame do processo nos leva à manutenção da sentença recorrida, visto como o carro do autor se achava em estacionamento pago da ré, sob guarda e proteção da mesma. O fato de não terem sido constatados sinais de arrombamento, não prova e não faz presumir que o autor tenha sido descuidado no fechar seu carro, pois é conhecida nos dias de hoje a habilidade dos arrombadores de carros. - O aditamento da queixa ofertada na polícia quanto à relação dos objetos furtados, também não leva a crer que o autor esteja propositadamente aumentando o valor do prejuízo sofrido. A existência de tais objetos ficou demonstrada pelos depoimentos das testemunhas. - No que concerne ao aviso para que não fossem deixados valores nos carros estacionados, deve ele ser interpretado como não responsabilidade quanto a dinheiro, jóias, títulos representativos de crédito, enfim aquilo que não poderia normalmente ser deixado em um carro a não ser por descuido. - Todavia, nesses valores não se incluem naturalmente pastas ou embrulhos, coisas, enfim, que não se esteja obrigado a carregar sem necessidade. - Por esses valores a guardadora do carro também fica responsável. Julgado em (data omissa) Registrado em 08-01-1985 Arquivo do EMFOR, TJ/1.400 EMFOR 445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responsabilidade da CODERTE por arrombamento de carro estacionado não se limita aos equipamentos do carro estacionado, mas abrange tudo o que o dono do veículo houver, comprovadamente, deixado no mesmo e que não tivesse necessidade ou obrigação de carregar, sendo que a inexistência de sinais de arrombamento não indica descuido do proprietário do veículo, mas atribuível à habilidade dos arrombadores. (Ementa modificada pelo EMENTÁRIO FORENSE)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2026-09-11T00:09:33.295Z</dcterms:created>
  <dcterms:modified xsi:type="dcterms:W3CDTF">2026-09-11T00:09:33.295Z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