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REsp 24.601</w:t>
      </w:r>
    </w:p>
    <w:p/>
    <w:p>
      <w:r>
        <w:t xml:space="preserve">ACIDENTE DE TRÂNSITO — AUSÊNCIA DE REGISTRO DA TRANSFERÊNCIA - ANTIGO PROPRIETÁRIO - SE IMPLICA EM SUA RESPONSABILIDADE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registro da transferência não implica a responsabilidade do antigo proprietário por dano resultante de acidente que envolve o veículo alienado. Referência: Cód. de Pr. Civil, art. 370, V. Lei nº 6.015, de 31-12-73, art. 129, 7º. REsp 24.601 - MS (3ª T. 17-11-92 - DJ 14-12-92). REsp 34.276 - GO (3ª T. 18-05-93 - DJ 07-06-93). REsp 23.039 - GO (4ª T. 25-11-92 - DJ 01-02-93). Segunda Seção, sessão ordinária de 26-4-1995 DJU de 5-5-1995, pág. 12.000 EMFOR - Nº 558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2026-07-27T23:36:35.465Z</dcterms:created>
  <dcterms:modified xsi:type="dcterms:W3CDTF">2026-07-27T23:36:35.465Z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