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</w:t>
      </w:r>
    </w:p>
    <w:p>
      <w:r>
        <w:rPr>
          <w:i/>
          <w:iCs/>
          <w:color w:val="666666"/>
        </w:rPr>
        <w:t xml:space="preserve">CHEQUE APRESENTADO APÓS O PRAZO</w:t>
      </w:r>
    </w:p>
    <w:p/>
    <w:p>
      <w:r>
        <w:rPr>
          <w:b/>
          <w:bCs/>
        </w:rPr>
        <w:t xml:space="preserve">Recurso: </w:t>
      </w:r>
      <w:r>
        <w:t xml:space="preserve">Apelação Cível 22.360</w:t>
      </w:r>
    </w:p>
    <w:p/>
    <w:p>
      <w:r>
        <w:t xml:space="preserve">PAGAMENTO DE CHEQUE FALSO —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-... Nessa matéria, antes de consagrá-la o art. 39, parágrafo único, da Lei 3.357, de 2-9-1985, era tese assente na jurisprudência a de que o estabelecimento bancário responde pelo pagamento de cheque falso, ressalvados os casos de culpa (lato sensu) exclusiva ou concorrente do correntista. Esposou-se o E. Supremo Tribunal Federal no verbete nº 28 (*) da Súmula. Tem-na reiterado este E. Tribunal de Justiça, em diversos VV. Acórdãos, por exemplo: Apelação Cível nº 22.360, 2º Câmara Cível, 17-8-1982; Apelação Cível nº 24.291, 1º Câmara Cível, 9-8-1983; Apelação Cível nº 28.174, 4ª Câmara Cível, 18-10-1983, Apelação Cível nº 29.793, 1º Câmara Cível, 22-5-1984. Em prestimosa monografia, ROBERTO BARCELLOS DE MAGALHÃES traz à colação julgados de outros Tribunais do país e opiniões doutrinárias, sempre no mesmo sentido (Assinatura falsas no cheque, Rio - S. Paulo, págs. 90 e segs. Salienta o fato de ser grosseira a falsificação como "primeira circunstância agravante da posição do sacado" (...), abonando a afirmação com decisões dos EE. Tribunais de Justiça de São Paulo, Rio Grande do Sul e do E. I Tribunal de Alçada do nosso Estado (...). Em semelhante hipótese, nem se precisa recorrer à presunção de culpa do banco: é sua culpa real que fica positivada. Ac. de 08-10-1985 Arquivo do EMFOR, TJ/1.472 (*) "O estabelecimento bancário é responsável pelo pagamento de cheque falso, ressalvadas as hipóteses de culpa exclusiva ou concorrente do correntistas." (EMENTÁRIO FORENSE", Nº 192). EMFOR 456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Cheque especial com assinatura grosseiramente falsificada: responde o banco, perante o correntista, pelo respectivo pagamento, se não há prova de culpa exclusiva ou concorrente do titular da conta.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2026-07-28T02:22:27.809Z</dcterms:created>
  <dcterms:modified xsi:type="dcterms:W3CDTF">2026-07-28T02:22:27.809Z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