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</w:t>
      </w:r>
    </w:p>
    <w:p>
      <w:r>
        <w:rPr>
          <w:i/>
          <w:iCs/>
          <w:color w:val="666666"/>
        </w:rPr>
        <w:t xml:space="preserve">CHEQUE APRESENTADO APÓS O PRAZO</w:t>
      </w:r>
    </w:p>
    <w:p/>
    <w:p/>
    <w:p>
      <w:r>
        <w:t xml:space="preserve">AFOGAMENTO DE MENOR EM PISCINA — CULPA "IN VIGILANDO" - AÇÃO PROCEDENTE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De fato, embora não associado da apelada, o certo é que a vítima freqüentava a sua sede habitualmente e em companhia de um tio, que dela era sócio. - É certo, ainda, que a direção da AABB era comunicada "milhares de vezes", como informa o seu zelador, do ingresso de pessoas na piscina na ausência do guardião ... . Daí a conclusão correta da sentença ao afirmar que, verbis: "Ora sabendo que até crianças pequenas freqüentam o clube o mínimo que se poderia esperar da administração era, que sabendo que muitas pessoas descumpriam o regulamento e isto podia lhes causar a morte, redobrar a vigilância e impedir, até mesmo manu militari tal ocorrência". - Omitiu-se, pois, a associação no seu dever de vigilância, devendo ser responsabilizada pela indenização reclamada. As verbas foram corretamente atribuídas, excepcionando-se aquela da data do evento até a que a vítima completaria 25 anos de idade. O dano moral reclamado já encontra pacífico entendimento no Superior Tribunal de Justiça no sentido de ser devido aos pais da vítima. Ac. de 03-06-1993 Arquivo do EMFOR - TJ/2.360 EMFOR 541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clube social que mantém piscina no seu parque desportivo, tem o dever de manter rigorosa vigilância e controle no acesso de seus usuários à mesma.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2026-10-26T02:18:29.520Z</dcterms:created>
  <dcterms:modified xsi:type="dcterms:W3CDTF">2026-10-26T02:18:29.520Z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