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14/05/1986</w:t>
      </w:r>
    </w:p>
    <w:p/>
    <w:p>
      <w:r>
        <w:t xml:space="preserve">LEILOEIRO E PORTEIRO DOS AUDITÓRIOS — IMÓVEL PENHORADO - A QUEM COMPETE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embargos à arrematação, onde a embargante argui a nulidade da execução, já que o leilão da metade do imóvel penhorado foi realizado pelo leiloeiro público, ao invés do leiloeiro judicial, este antigo "porteiro de auditórios", pelo que foi violada a Lei nº 6.851/80 e outros dispositivos legais. - ... Sentença de rejeição "in limine" dos presentes embargos, com arrimo na jurisprudência. - No primeiro ato da hasta pública na execução em apenso, ainda que o leilão realizado pelo leiloeiro público, quando o recomendável "secundum legem", seria realmente a praça realizada pelo leiloeiro judicial, não houve licitantes. - Impôs-se, assim, a realização de um segundo "leilão", este sob o amparo do art. 686., VI, quando se consumou a venda. - Logo, se o primeiro ato deveria ser a "praça", esta atada ao lanço mínimo pelo valor da avaliação a ser realizada no átrio do fórum por um leiloeiro judicial, não o tendo sido, mas em seu lugar realizado um "leilão negativo", se dele não resultou nenhum efeito prático, não há que se anulá-lo. - Desprovê-se, assim o apelo. Julgado em 15-05-1986 Arquivo do Ementário Forense, TA/712 NO SENTIDO CONTRÁRIO: Mand. Seg. nº 3.330, TJRJ - 2ªC, relator: Des. SAMPAIO PERES, ac. de 25-6-1985, "in" "Ementário Forense", nº 457.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recomendável, "secundum legem", a realização da praça pelo "porteiro dos auditórios", é irrelevante a arguição de nulidade, se o primeiro leilão foi negativo, impondo-se a realização de um segundo leilão, sob o amparo do art. 668 , VI, do CPC.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2026-10-26T04:28:32.633Z</dcterms:created>
  <dcterms:modified xsi:type="dcterms:W3CDTF">2026-10-26T04:28:32.633Z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