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/>
    <w:p>
      <w:r>
        <w:t xml:space="preserve">LESÃO FÍSICA — SE É DEVIDO A FAMÍLIA DA VÍTIMA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Tem-se admitido a indenização por dano moral quando o beneficiário é a própria vítima que veio à sofrer alterações em sua integridade física . - Em forma de "pretium dolori" pago à família daquele que faleceu em decorrência da lesão , o dano moral se torna incabível . - Na verdade, ele há de ter causa distinta daquele que provoca dano físico, uma causa a ele especificamente dirigida . Assim, de uma ofensa a incolumidade corporal de alguém não se pode extrair um dano moral. - Aliás, a dicotomia inserta no art. 76 , CC desautoriza essa filiação. Ac. de 27-10-1987 Arquivo do EMFOR, TA/894 EMFOR 478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o dano moral por morte do chefe da família , em decorrência de lesão física 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2026-07-28T02:21:23.077Z</dcterms:created>
  <dcterms:modified xsi:type="dcterms:W3CDTF">2026-07-28T02:21:23.077Z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