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apelação.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>
      <w:r>
        <w:rPr>
          <w:b/>
          <w:bCs/>
        </w:rPr>
        <w:t xml:space="preserve">Julgado em: </w:t>
      </w:r>
      <w:r>
        <w:t xml:space="preserve">23/03/1987</w:t>
      </w:r>
    </w:p>
    <w:p/>
    <w:p>
      <w:r>
        <w:t xml:space="preserve">"PRETIUM DOLORIS" — SE PODE SER INDENIZADO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vê.., o egrégio Tribunal de Alçada do Estado do Rio de Janeiro, em embargos infringentes acolheu o voto vencido no julgamento da apelação..., para mandar pagar à autora, entre outras verbas, a de 5 salários-mínimos, a título de reparação de dano moral. - Não admite a firme jurisprudência do Supremo Tribunal, a cumulação desta com a indenização do dano material. - Vejam-se, nesse sentido, as seguintes decisões: "inter alia": RE 108.487, Rel. Ministro DJACI FALCÃO; RE 106.926, Rel. Ministro NÉRI DA SILVEIRA; RE 100.270, Rel. Ministro ALDIR PASSARINHO e RE 110.882, por mim relatado. - Por essa razão, conheço do recurso e lhe dou provimento, para excluir da condenação a reparação do dano moral. Julgado em 24-03-1987 Arquivo do STF - de 08-05-87 - Ementário Nº 1460-2 Arquivo do EMFOR, STF/23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Federal, através de vários julgados, consolidou o entendimento de que o dano moral consistente em "pretium doloris" é insuscetível de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2026-07-28T02:24:38.475Z</dcterms:created>
  <dcterms:modified xsi:type="dcterms:W3CDTF">2026-07-28T02:24:38.475Z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