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apelação 818.522-2</w:t>
      </w:r>
    </w:p>
    <w:p/>
    <w:p>
      <w:r>
        <w:t xml:space="preserve">INCLUSÃO INDEVIDA DO NOME DO AUTOR NA SERASA — LEGITIMAÇÃO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parece, ainda não foi ajuizada a ação principal, mas isto não implica na extinção do processo cautelar. Confira-se a jurisprudência mencionada por THEOTÔNIO NEGRÃO ("CPC e Legislação Processual em Vigor", 30ª ed., nota 5 ao artigo 808), em particular o acórdão da Oitava Câmara deste Tribunal, publicado em JTAC-RT 106/196, aonde a matéria foi examinada em profundidade e se transcreve esta lição de CALMON DE PASSOS: "Se houve liminar e caducou a eficácia da medida, porque não utilizado o prazo de 30 dias, nem por isso deixa ela de poder ser deferida em decisão final. O que perde a eficácia é a medida liminar. A definitiva é situação nova, de cuja efetivação começará um outro prazo de 30 dias." - O cartão de crédito do autor ficou retido na máquina do "Banco 24 horas", por defeito no equipamento. O fato foi comunicado de imediato ao Banco (...). - Este, entretanto, por falha burocrática cuja ocorrência reconheceu (fls. ...), deixou de providenciar o bloqueio do cartão, o qual veio, assim, a ser utilizado por meliantes, que realizaram gastos com o mesmo. - Inúmeros dissabores suportou o autor nos meses subseqüentes, já que o Banco, que continuava a incluir aquelas despesas nas faturas mensais do cartão de crédito, não providenciou a baixa do registro na Serasa, vindo o autor a sofrer restrição de crédito em duas oportunidades. - Esta a situação fática que se delineou neste processo cautelar. - Em que pese muito bem-lançada a sentença do Dr. Sérgio Coimbra Schmidt, a mesma merece reforma em dois pontos. - A Serasa é parte legítima porque, descumprindo a norma do artigo 43, § 2º, do Código de Defesa do Consumidor, deixou de comunicar ao autor a abertura do registro, tornando-se , em princípio (a matéria terá exame mais aprofundado na ação principal), co-responsável pelos prejuízos por este suportados. A comunicação imediata teria possibilitado providências de parte do autor, para evitar ou ao menos minorar os efeitos daquele dado incorreto. - A falta da aludida comunicação, que aliás foi reconhecida no item 11 da resposta (fls. ...), veio como um dos fundamentos da petição inicial (fls. ...), e é suficiente para a manutenção da Serasa no pólo passivo, assim como para a procedência da ação em relação a ela, razão pela qual não se mostra necessário o retorno dos autos à primeira instância. - A artificial distinção pretendida pela Serasa, entre negativação e abertura de ficha cadastral, não tem o menor respaldo nas regras do artigo 43 do CDC. A obrigação de comunicação, como está expresso no § 2º, abrange a inserção de qualquer tipo de dado. Isso, aliás, já foi proclamado em acórdão desta Câmara, no julgamento de ação civil pública movida pelo Ministério Público contra a Serasa (apelação nº 818.522-2, sessão de 10/02/99). - Quanto à verba honorária fixada para o advogado do autor (R$ 400,00), realmente mostra-se insuficiente, mesmo na consideração de se tratar de processo cautelar. - A causa é trabalhosa, tendo obrigado a parte a inúmeras providências preparatórias, sem contar o zelo demonstrado pelo causídico e a qualidade muito superior à média de suas petições. Fixam-se os honorários em R$ 2.000,00 (dois mil reais). - Dá-se, pois, provimento ao recurso, ficando a ação julgada procedente em relação aos dois réus, que pagarão as custas e a verba honorária acima fixada. Ac. de 13-10-1999 Arquivo do EMFOR, TA/N 2877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do Banco que passou o dado incorreto, também a Serasa é parte legítima, por não ter feito a comunicação da abertura do registro exigida pelo artigo 43, § 2º, do CDC.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2026-10-26T04:33:54.190Z</dcterms:created>
  <dcterms:modified xsi:type="dcterms:W3CDTF">2026-10-26T04:33:54.190Z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