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PRAZO PARA O RECURSO EXTRAORDINÁRIO</w:t>
      </w:r>
    </w:p>
    <w:p/>
    <w:p>
      <w:r>
        <w:rPr>
          <w:b/>
          <w:bCs/>
        </w:rPr>
        <w:t xml:space="preserve">Julgado em: </w:t>
      </w:r>
      <w:r>
        <w:t xml:space="preserve">03/02/1997</w:t>
      </w:r>
    </w:p>
    <w:p/>
    <w:p>
      <w:r>
        <w:t xml:space="preserve">CAUTELA QUE INDEPENDE DO REQUERIMENTO DO CREDOR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Ademais, sobreleva que o arresto é cautela no próprio processo de execução, independendo, inclusive, de requerimento do credor, providência implícita na determinação de diligência da penhora. - Neste sentido, recomenda o Prof. ERNANI FIDÉLIS DOS SANTOS, que: "Tendo o devedor domicílio e residência certos, ali deverá ser procurado para citação. Não o tendo, não deverá, de imediato, ser feita citação por edital, cumprindo ao oficial de justiça do fórum da execução realizar diligências necessárias para encontrá-lo. Se não o encontrar, deverá certificar minuciosamente as deligências, para orientação das partes e do Juiz (art. 652, § 2º). Não sendo o devedor encontrado, o oficial de justiça, verificando a existência de bens penhoráveis, arrestará tantos quantos forem necessários à garantia da execução (art. 653), fazendo respectivo depósito" (apud Manual de Direito Processual Civil, Execução e Processo Cautelar, v. 2, 3. ed., 1993, Saraiva, p. 152). - E ainda cuidando do tema, prossegue afirmando ser possível, mas inócua a citação por edital sem arresto: "A citação por edital para execução, sem o arresto, não é vedada, mas o ato é bem mais dispendioso, para alcançar os mesmos fins que a lei prevê expressamente. Se o devedor tiver bens, fazendo-se o arresto, faz-se a citação por edital, com a possibilidade de transformação, sem outras diligências, em penhora. Citado, porém, por edital, sem o arresto, faz-se depois a penhora e publicam-se novamente editais de intimação, com desperdício de tempo e dinheiro. Prejuízo também não há com a não-citação por edital, quando não se encontrarem bens a arrestar, pois o processo fica suspenso (art. 791, III) e a prescrição vai considerar-se interrompida na data do desp acho que ordenar a citação e não na de sua efetiva realização (art. 219, § 1º)" (op. cit., p. 154). - É certo, pois, que o credor buscou meio menos oneroso para a execução, ao requerer a efetivação do arresto dos bens dos devedores (encontrando-se estes em lugar incerto e ignorado), que resultou indeferido, e contra a qual se insurge via agravo. - Apropriados ao caso os precedentes jurisprudenciais, citados por NELSON NERY JUNIOR e ROSA MARIA ANDRADE NERY, em seu Código de Processo Civil Comentado: "Prazo para pagar ou oferecer bens à penhora. Citado um dos executados já passa a correr, para este, o prazo de 24 horas para pagar ou oferecer bens à penhora, não havendo garantia pignoratícia. E se não é encontrado o executado, esteja ou não procurando ocultar-se, cabe o prévio arresto de bens (Código de Processo Civil, arts. 652 e 653), o que não elimina o direito assegurado ao devedor de nomear bens à penhora (JTACivSP 98/91 e RT 683/107)" (Ed. RT, 2. ed., 1996. p. 1.058). (O grifo é nosso.) - Eis porque conheço do agravo e voto pelo seu provimento. - É como voto. Julgado em 04-02-1997 Revista dos Tribunais, Julho de 1997, vol. 741, pág. 333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arresto constitui cautela no próprio processo de execução, independendo, inclusive, de requerimento do credor, providência implícita na determinação de diligência da penhora.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2026-07-28T04:27:40.556Z</dcterms:created>
  <dcterms:modified xsi:type="dcterms:W3CDTF">2026-07-28T04:27:40.556Z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