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>
      <w:r>
        <w:rPr>
          <w:b/>
          <w:bCs/>
        </w:rPr>
        <w:t xml:space="preserve">Recurso: </w:t>
      </w:r>
      <w:r>
        <w:t xml:space="preserve">REsp 5.905</w:t>
      </w:r>
    </w:p>
    <w:p>
      <w:r>
        <w:rPr>
          <w:b/>
          <w:bCs/>
        </w:rPr>
        <w:t xml:space="preserve">Relator: </w:t>
      </w:r>
      <w:r>
        <w:t xml:space="preserve">ATHOS CARNEIRO</w:t>
      </w:r>
    </w:p>
    <w:p/>
    <w:p>
      <w:r>
        <w:t xml:space="preserve">FURTO DE MOTOCICLETA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Superior Tribunal de Justiça tem posição firme acerca da responsabilidade de empresas comerciais pelo furto de veículos no interior de estacionamento por elas oferecido aos seus clientes. - Em uma das primeiras manifestações sobre a matéria, decidiu a 4ª Turma: "RESPONSABILIDADE CIVIL. FURTO DE VEíCULO EM ESTACIONAMENTO DE SUPERMERCADO. Embora inexistente pagamento direto, a empresa tem manifesto interesse econômico em dispor de local para estacionamento de carros, eis que atualmente este é fator o mais ponderável no angariar e atrair clientes. Presumível assim, um dever de guarda dos veículos ali estacionados, salvo se ostensivos avisos comunicam que a empresa não assume tal encargo. Caso em que as circunstâncias indicam a assunção do ônus. Recurso especial, pela letra c, não conhecido". (REsp nº 5.905, de 4-12-1990, Rel. Min. ATHOS CARNEIRO, DJ de 11-3-1991). - Poucos meses depois, aquela mesma Turma desta Corte Superior, a apreciar caso de interesse de estabelecimento comercial, sem especificação do ramo comercial, pelo menos na ementa, decidiu: "INDENIZAÇÃO. FURTO DE VEÍCULO EM ESTACIONAMENTO. O estabelecimento comercial responde pelo prejuízo resultante do furto de veículo ocorrido em seu estabelecimento. Dissídio jurisprudencial superado. Princípio da Súmula nº 286 (*) do Supremo Tribunal Federal. Recurso especial de que não se conheceu. Unânime". (REsp nº 10.148, de 18-6-1991, Rel. Min. FONTES DE ALENCAR, DJ de 7-10-1991). - Neste último acórdão já não há mais ressalvas quanto a avisos ostensivos de exoneração da responsabilidade. Observo que em ambos o reconhecimento da responsabilidade decorre de uma presunção do dever de guard a face ao interesse da empresa para angariar clientela. Esse fundamento vem de ser destacado, em sede de doutrina, pela Dr. CLÁUDIA LIMA MARQUES, desta forma: "O Superior Tribunal de Justiça já considerou que mesmo sendo gratuito o estacionamento, se o serviço é "prestado no interesse do próprio incremento do comércio", por shopping center ou por supermercado, há um dever de vigilância e de guarda. De regra os contratos gratuitos estão excluídos do campo de aplicação do CDC, mas tendo em vista estas últimas manifestações da jurisprudência, a sua inclusão como, "contrato de consumo sui generis" ou pré-contrato de consumo não parece de todo impossível" (Contratos no Código de Defesa do Consumidor. São Paulo, Ed. RT, 1992, pág. 84). - ....................................................................... - Boa doutrina brasileira averba e acolhe essa motivação e mais do que isso se harmoniza com as conclusões desta Corte. - YUSSEF SAID CAHALI, em artigo intitulado "Furto de Veículos em Estabelecimentos de Shopping Center", in Shopping Centers (Questões Jurídicas). São Paulo, Saraiva, 1991, faz estas considerações: "5. ESTACIONAMENTOS DAS EMPRESAS, BANCOS, HOTÉIS E RESTAURANTES. - Responde pela indenização a empresa que, possuindo estacionamento para visitantes, permite que estranhos nele adentrem sem a devida identificação, vindo a furtar veículo ali estacionado (RT 606:8); do mesmo modo, "o empregador que admite a permanência de veículos dos empregados em seu estacionamento junto ao local de trabalho responde pelos danos que estes venham a sofrer, existindo aí autêntico depósito, ao qual é inerente o dever de incolumidade do depositário em relação aos bens depositados" (RT, 607:39; RJTJESP, 103:159). - Igualmente, os bancos respondem pelo furto, de veículos verificado em estacionamentos junto às suas agências: a autora deixou seu veículo no estacionamento mantido pelo banco-réu, no qual trabalhava um funcionário responsável pela guarda e entrega do comprovante de depósito; logo, se concordou o banco em receber o veículo, ainda que por mera cortesia e gratuitamente, responde civilmente como depositário; a facilidade na oferta de estacionamento, em tais casos, constitui forma de atrair clientes caracterizando-se como compensação de serviços (6ª Câmara do TJSP, Ap. 112.870-1, 15-6-1989). - ...................................................................... - Porém, já se decidiu que a responsabilidade deve ser reconhecida, se furtado o veículo ainda que estacionado em via pública, mas sob controle e vigilância do proprietário do restaurante (RJTJESP, 95:138), o que nos permite afirmar que existe a obrigação de vigilância ainda que o proprietário do veículo o manobre pessoalmente para estacioná-lo na área reservada pelo restaurante para este fim aos seus clientes, enquanto estes tom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Ante o interesse da empresa em dispor de estacionamento para angariar clientela é de presumir-se seu dever de guarda dos veículos ali estacionados, sendo indenizável o prejuízo decorrente de furto.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2026-07-28T06:49:17.438Z</dcterms:created>
  <dcterms:modified xsi:type="dcterms:W3CDTF">2026-07-28T06:49:17.438Z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