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AP -</w:t>
      </w:r>
    </w:p>
    <w:p>
      <w:r>
        <w:rPr>
          <w:b/>
          <w:bCs/>
        </w:rPr>
        <w:t xml:space="preserve">Relator: </w:t>
      </w:r>
      <w:r>
        <w:t xml:space="preserve">EDUARDO RIBEIRO</w:t>
      </w:r>
    </w:p>
    <w:p/>
    <w:p>
      <w:r>
        <w:t xml:space="preserve">FURTO DE VEÍCULO — DEVER DE GUARDA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estacionamento não só é parte do supermercado, como funciona como fator de atração para a clientela e o conseqüente aumento de faturamento, estando o preço da utilização da vaga embutido no preço das mercadorias adquiridas pelos compradores, pelo que não há que cogitar de gratuidade. - Portanto, ainda que inexista verdadeiramente a tradição do veículo, por permanecerem as chaves em poder do cliente, ou inocorra contrato de depósito, o supermercado, beneficiando-se com os bônus do estacionamento, como importante atrativo para o consumidor, deve responder pelos ônus, ou seja, garantir a este a incolumidade do veículo estacionado, em razão do dever de guarda. - Nesse sentido vem decidindo este Tribunal (cf AP - 27.909-2, de Curitiba) e o Superior Tribunal de Justiça (cf REsp - 11.182-0-SP, Rel. Min. EDUARDO RIBEIRO, DJU de 3-2-1992). Ac. de 23-11-1994 Arquivo do EMFOR - TJ/2.521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Ainda que inexista contrato de depósito entre o supermercado e o cliente, mas desde que o estacionamento funciona como fator de atração para a clientela, com o conseqüente aumento do faturamento, estando o preço da utilização da vaga embutida no preço das mercadorias, não há que cogitar de gratuidade, pelo que incumbe a referida empresa responder pelo furto, por ter falhado no seu dever de guarda.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2026-07-28T02:24:11.161Z</dcterms:created>
  <dcterms:modified xsi:type="dcterms:W3CDTF">2026-07-28T02:24:11.161Z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