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/>
    <w:p>
      <w:r>
        <w:t xml:space="preserve">PASSAGEIRO QUE CAI AO TENTAR ENTRAR NO TREM EM MOVIMENTO — CULPA EXCLUSIVA DA VÍTIMA ELIDIDA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bem anotada pelo d. Magistrado é de responsabilidade objetiva. Não afasta a responsabilidade da ré o fato de ter a vítima tentado entrar no vagão quando a composição já estaria em movimento e após ter dado o sinal de partida. É que esta (partida) não poderia ser dada sem que as portas estivessem fechadas. E é o quanto basta para elidir a culpa exclusiva da vítima. Ac. de 23-02-1994 Revista dos Tribunais - Julho de 1994 - Vol. 705 - Pág. 128 EMFOR 555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afasta a responsabilidade da companhia o fato de ter a vítima tentado entrar no vagão quando a composição já estaria em movimento e após ter dado o sinal de partida. É que esta (partida) não poderia ser dada sem que as portas estivessem fechadas. E é o quanto basta para elidir a culpa exclusiva da vítima.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2026-07-28T00:46:04.685Z</dcterms:created>
  <dcterms:modified xsi:type="dcterms:W3CDTF">2026-07-28T00:46:04.685Z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