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CULPA CONCORRENTE</w:t>
      </w:r>
    </w:p>
    <w:p/>
    <w:p>
      <w:r>
        <w:rPr>
          <w:b/>
          <w:bCs/>
        </w:rPr>
        <w:t xml:space="preserve">Recurso: </w:t>
      </w:r>
      <w:r>
        <w:t xml:space="preserve">REsp 23.351-7-</w:t>
      </w:r>
    </w:p>
    <w:p/>
    <w:p>
      <w:r>
        <w:t xml:space="preserve">"QUEDA DE PINGENTE" — CULPA PRESUMIDA -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reformou-se a sentença sob o fundamento exclusivo de tratar-se de viajante "pingente", o que, segundo a pacífica orientação deste Tribunal, não serve a elidir a responsabilidade civil da ferrovia. - Com efeito, falecendo passageiro, em razão de queda ocorrida quando em movimento o comboio, há culpa presumida da empresa ferroviária, somente elidida pela demonstração de caso fortuito, força maior ou culpa exclusiva da vítima (art. 17 do Decreto 2.681/12, tal como ressaltou o eminente Ministro Sálvio de Figueiredo na ementa que escreveu para o acórdão no REsp 23.351-7- RJ, acrescentando que, nos casos de "pingente", porque dever contratual da companhia transportadora impedir que pessoas viajem com parte do corpo projetada para o lado de fora do veículo, afastada resta a possibilidade de culpa exclusiva da vítima. - No mesmo sentido, destaco os acórdãos desta Turma nos REsp(s) nos 10.911-RJ e 13.681-SP. - Assim, e demonstrado o dissídio jurisprudencial, conheço do recurso e lhe dou provimento, para cassar o acórdão e restabelecer a sentença de primeiro grau, salvo no tocante aos juros, ao valor da indenização por dano moral e aos honorários advocatícios. Na esteira de precedentes desta Corte, os juros devem ser de natureza simples, contados da citação inicial (REsp 2.067-SP). - A indenização por dano moral, por sua vez, foi arbitrada em importância bem acima do razoável, em 720 salários-mínimos, razão por que a fixo em Cr$ 3.000.000,00 (três milhões de cruzeiros reais), incidindo correção monetária a partir desta data. Quanto aos honorários advocatícios, reduzo-os para 15% (quinze por cento). - É como voto, ... Ac. de 13-12-1993 (Reg. nº 93.0024649-6) Revista do Superior Tribunal de Justiça, nº 58, junho de 1994, pág. 394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culpa presumida da empresa ferroviária somente é elidida pela demonstração de caso fortuito, força maior ou culpa exclusiva da vítima, a teor do disposto no art. 17 do Decreto 2.681, de 1912. A circunstância de tratar-se de passageiro "pingente" não configura a hipótese de culpa exclusiva da vítima, segundo precedentes deste Tribunal.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2026-07-27T23:47:13.580Z</dcterms:created>
  <dcterms:modified xsi:type="dcterms:W3CDTF">2026-07-27T23:47:13.580Z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