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CULPA CONCORRENTE</w:t>
      </w:r>
    </w:p>
    <w:p/>
    <w:p>
      <w:r>
        <w:rPr>
          <w:b/>
          <w:bCs/>
        </w:rPr>
        <w:t xml:space="preserve">Julgado em: </w:t>
      </w:r>
      <w:r>
        <w:t xml:space="preserve">18/06/1984</w:t>
      </w:r>
    </w:p>
    <w:p/>
    <w:p>
      <w:r>
        <w:t xml:space="preserve">FUNDAMENTOS DO SEU DIREITO À REPARAÇÃO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primeira razão de acolher o recurso é o próprio fundamento do direito à pensão, nas relações pai-filho. É obrigação legal. Estatui o CC, 1.537, II, que a indenização em caso de homicídio consistirá na prestação de alimentos às pessoas a quem o defunto as devia. E esse dever, o CC, 397 estabelece ser recíproco entre pais e filhos. - Eis o parecer de AGUIAR DIAS a propósito: "Tem direito de pedir reparação toda pessoa que demonstre um prejuízo e a sua injustiça. O quadro dos sujeitos ativos da reparação deve atender a esse princípio de ampla significação" (Pág. 495, V. 2). "Em que recai o título de sujeito ativo da reparação? - Então, em primeiro lugar, os parentes mais próximos da vítima, isto é, os herdeiros, ascendentes e descendentes, o cônjuge e as pessoas diretamente atingidas pelo seu desaparecimento. - Quanto aos parentes mais próximos, nenhuma dificuldade, o que se evita, conscientemente, ou não, quando se resvala para a comodidade da teoria alimentar"... Em relação à família, o prejuízo se presume, de modo que o dano tanto material como moral, dispensa qualquer demonstração, além da do fato puro e simples da morte do parente. - Logo, dependência econômica não precisa ser demonstrada, na espécie. E esta consideração basta para receber os embargos, concedendo a indenização. - .......................................................................................................................................................................... - Ressalva-se, entretanto, que embora a circunstância menoridade torne líquido o direito à indenização, não deve o advento da "maioridade" significar uma supressão desse direito, pois a Lei não opera essa extinção, sendo, por outro lado, mandamento jur ídico que os parentes se devam reciprocamente alimentar, sem limitações temporais. Julgado em 19-06-1984 VENCIDO O JUIZ BATALHA DE MATOS (Vogal) Arquivo do EMFOR, TA/642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filhos, por força do disposto nos artigos 1.537, II e 397 do Código Civil, são titulares do direito à reparação por morte da vítima.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2026-07-28T01:47:03.550Z</dcterms:created>
  <dcterms:modified xsi:type="dcterms:W3CDTF">2026-07-28T01:47:03.550Z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