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/>
    <w:p>
      <w:r>
        <w:t xml:space="preserve">DESPESAS SUPORTADAS PELO PAI DA VÍTIMA — LEGITIMIDADE DESTA PARA A COBRANÇA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réus, nas contra-razões à apelação, argüíram a ilegitimidade ad causam ativa, porque por diversas vezes, na inicial, o autor informa que quem teve prejuízos porque pagou isso ou aquilo foi o seu pai. Ora, não se pode indenizar quem não teve prejuízo algum. Destarte, o pai do autor, sim, poderia figurar no polo ativo da ação. Repele-se a argüição. Os interesses se confundem entre o filho e o pai. Ademais, aquele é que sofreu danos e as despesas foram feitas por ele, tendo sido pagas pelo pai, quando, em verdade, deveriam ser pagas pelo culpado. As despesas foram feitas pelo autor e por ele podem ser cobradas, dirigida a pretensão contra o(s) causador(es). Ac. de 02-12-1988 Revista dos Tribunais - Janeiro de 1989 - Vol. 639 - Pág. 53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vítima de ato ilícito tem legitimidade ad causam para propor ação de indenização contra o causador do dano ainda que as despesas que pretende reaver tenham sido suportadas por seu pai, pois, nesse caso, os interesses se confundem.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2026-10-26T03:21:56.488Z</dcterms:created>
  <dcterms:modified xsi:type="dcterms:W3CDTF">2026-10-26T03:21:56.488Z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