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CULPA CONCORRENTE</w:t>
      </w:r>
    </w:p>
    <w:p/>
    <w:p/>
    <w:p>
      <w:r>
        <w:t xml:space="preserve">VIDA PROVÁVEL DA VÍTIMA — CRITÉRIO JURISPRUDENCIAL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Inobstante a controvérsia existente acerca do limite para a satisfação do pensionamento, opto pela tese oposta e não fixo o limite de 25 anos de idade como data para a cessação do estipêndio. Com a devida vênia, faço minha a observação do Des. OSNY CAETANO, na JC 45/114, em cujo v. acórdão está insculpido: "de fato, inexiste razão para limitar aos 25 anos de idade a prestação de auxílio do filho por eventual matrimônio e afastamento do lar materno. Se assim não fosse, como ficaria o caso dos presentes autos? Não haveria indenização, pelo fato da vítima já ter completado 25 anos de idade? O bom senso repele esta afirmação. Destarte, opto pelo tempo provável da vida restante da vítima; em 60 anos de idade. Ante o exposto, atendendo ao mais que dos autos consta e aos princípios de direito aplicável à espécie... Ac. de 03-10-1989 Jurisprudência Catarinense - 3º e 4º Trimestres de 1989 - Vol. 65 - Pág. 149 EMFOR 514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legítimo o entendimento de que o estipêndio indenizatório deve se estender pelo tempo que presumivelmente, viveria a vítima, não tivesse sofrido o acidente, limite esse hoje estabelecido pelos Tribunais em sessenta anos de idade, ressalvada a possibilidade da extinção da obrigação por qualquer das causas alinhadas no direito positivo.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2026-10-26T02:15:06.977Z</dcterms:created>
  <dcterms:modified xsi:type="dcterms:W3CDTF">2026-10-26T02:15:06.977Z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