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/>
    <w:p>
      <w:r>
        <w:t xml:space="preserve">BASE DE CÁLCULO — INCLUSÃO DO ADICIONAL DE FÉRIAS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7. O salário mínimo a ser considerado é aquele vigente ao tempo do efetivo pagamento, devendo, como postulado, serem pagas de uma só vez todas as parcelas vencidas, bem assim a verba correspondente ao dano moral (JTACSP 144/120), estando as vincendas asseguradas pela renda da constituição do capital assim determinado na sentença em atendimento ao disposto no art. 602 do CPC, neste ponto não impugnado. 8. A inclusão do adicional de férias na base de cálculo não tem razão de ser, pois, como bem pondera o d. Procurador da ré Agropecuária, "não se trata de um salário adicional, não é um plus salarial, mas apenas um período onde fica interrompida a prestação de serviços com o regular pagamento dos salários, diferentemente do 13º salário que realmente é um prêmio devido ao trabalhador pela prestação de serviços durante o ano". 9. Ante o exposto, negam provimento ao recurso das rés e dão em parte ao adesivo dos autores nos termos do item 7 acima, mantida no mais e pelos próprios fundamentos a bem cuidada sentença do Juiz Álvaro Luiz Valery Mirra. Ac. de 01-04-1997 Revista dos Tribunais - Agosto de 1997 - vol 742 - pág. 320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de ser incluído na base de cálculo da indenização o adicional de férias, pois nesse período, embora regular o pagamento do salário, fica interrompida a prestação de serviços.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2026-07-27T23:31:02.607Z</dcterms:created>
  <dcterms:modified xsi:type="dcterms:W3CDTF">2026-07-27T23:31:02.607Z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