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>
      <w:r>
        <w:rPr>
          <w:b/>
          <w:bCs/>
        </w:rPr>
        <w:t xml:space="preserve">Recurso: </w:t>
      </w:r>
      <w:r>
        <w:t xml:space="preserve">RE 42.789</w:t>
      </w:r>
    </w:p>
    <w:p/>
    <w:p>
      <w:r>
        <w:t xml:space="preserve">PENSÃO DEVIDA — FIXAÇÃO - CRITÉRIO JURISPRUDENCIAL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pensão correspondente à indenização oriunda de responsabilidade civil deve ser calculada com base no salário mínimo vigente ao tempo da sentença e ajustar-se-á às variações ulteriores. Referência: Código Civil, arts. 1.537, II e 1.539. Código de Processo Civil, arts. 911 e 912. Dec. nº 2.681, de 07.12.1912, arts. 17, 20 e 21 ERE 42.789, de 06.10.66 (D.J. de 03.05.67). RE 64.558, de 07.05.68 (D.J. de 07.06.68); RE 57.505, de 13.06.67 (R.T.J. 45/115); RE 64.812, de 03.09.68 (R.T.J. 48/399); RE 55.284, de 30.03.67 (R.T.J. 41/817). Sessão de 3-12-1969 DJ, 1969 - Dezembro - Pág. 5.947 - nº 235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2026-07-27T23:37:56.623Z</dcterms:created>
  <dcterms:modified xsi:type="dcterms:W3CDTF">2026-07-27T23:37:56.623Z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