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>
      <w:r>
        <w:rPr>
          <w:b/>
          <w:bCs/>
        </w:rPr>
        <w:t xml:space="preserve">Julgado em: </w:t>
      </w:r>
      <w:r>
        <w:t xml:space="preserve">24/11/1986</w:t>
      </w:r>
    </w:p>
    <w:p/>
    <w:p>
      <w:r>
        <w:t xml:space="preserve">PENSÃO ALIMENTAR — PEDIDO DE EXONERAÇÃO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que pretende a autora nestes autos, em última análise, é rescindir a sentença que lhe impôs a obrigação de pensionar o lesado pela prática de ato ilícito. - É princípio assente em doutrina que a respensionato mensal. O que fundamenta a obrigação alimentar, conquanto a indenização daquela decorrente possa, em alguns casos, assumir a forma de pensionato mensal. O que fundamenta a obrigação de indenizar é o desfalque que o ato ilícito causa ao patrimônio do lesado enquanto os alimentos encontram a sua justificativa no binômio possibilidade-necessidade. São conceitos, portanto, inconfundíveis. - Conquanto não haja nos autos qualquer elemento comprobatório de que a pensão deverá ser paga por toda vida do lesado, já que para aqui não foi carreada a sentença de liquidação, a verdade é que a imutabilidade da coisa julgada impede a apreciação de eventual omissão contida na sentença sobretudo quando como quer a autora funda-se a pretensão em precedentes judiciários de hesitante aceitação. - A lei somente admite e ainda assim quando sobrevem modificação das condições econômicas que a prestação seja reduzida ou aumentada, faltando comando legal para a pretendida exoneração. - Por tais razões, nega-se provimento ao recurso. Julgado em 25-11-1986 Arquivo do Ementário Forense, TA/727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civil não se confunde com a obrigação de alimentos. Impossível a exoneração da prestação em virtude da idade que teria a vítima quando a sentença, trânsita em julgado, não fixou limite para o pensionato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2026-10-26T03:21:50.905Z</dcterms:created>
  <dcterms:modified xsi:type="dcterms:W3CDTF">2026-10-26T03:21:50.905Z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