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PESSOA JURÍDICA DE DIREITO PÚBLICO</w:t>
      </w:r>
    </w:p>
    <w:p>
      <w:r>
        <w:rPr>
          <w:i/>
          <w:iCs/>
          <w:color w:val="666666"/>
        </w:rPr>
        <w:t xml:space="preserve">INDENIZAÇÃO POR DANOS MORAIS</w:t>
      </w:r>
    </w:p>
    <w:p/>
    <w:p>
      <w:r>
        <w:rPr>
          <w:b/>
          <w:bCs/>
        </w:rPr>
        <w:t xml:space="preserve">Recurso: </w:t>
      </w:r>
      <w:r>
        <w:t xml:space="preserve">RE 11.884-0-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AÇÃO PROPOSTA CONTRA PESSOA FÍSICA — ILEGITIMIDADE "AD CAUSAM"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recurso do autor visa, em primeiro lugar, modificar o julgado a quo para o fim de declarar a legitimidade passiva dos réus, pessoas naturais. Baseia seu entendimento no fato de que a Carta Magna não recepcionou, integralmente, a Lei de Imprensa, principalmente os dispositivos que disciplinam o ressarcimento pelo dano moral. - Sem razão, neste passo, o recurso já que as pessoas físicas que compõem os "Conselhos" do jornal não podem mesmo integrar o pólo passivo da demanda. A 4ªT. do STJ, julgando o RE 11.884-0-SP, em data de 16.11.1993, assim decidiu: "A legitimidade passiva ad causam, em hipóteses tais, a detém a pessoa natural ou jurídica que explora o veículo de comunicação...". - Como se vê, somente a empresa jornalística poderá e deverá figurar no pólo passivo, eis que a demanda, embora não baseada na Lei de Imprensa, visa atacar fato praticado por meio de comunicação escrita, certo de que, ao contrário do afirmado no recurso, a de 1988 recepcionou a Lei de Imprensa na parte em que não colide com seus próprios dispositivos. Sendo a ação fundada no direito comum, não há por que estender-se o pedido contra as pessoas físicas nomeadas na inicial. - Assim, mantém-se a sentença, na parte que afastou as pessoas naturais do pólo passivo da demanda. Ac. de 01-10-1996 Revista dos Tribunais, setembro de 1997 - vol 743 - pág 381 EMENTÁRIO FORENSE. Janeiro, 1998. Ano LI. Nº 590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Somente a empresa jornalística poderá e deverá figurar no pólo passivo no caso de indenização por dano moral, eis que a demanda, embora baseada na Lei de Imprensa, visa atacar fato praticado por meio de comunicação escrita, sendo certo que a CF/88 recepcionou referido dispositivo legal na parte em que não colide com seus próprios dispositivos, assim, sendo a ação fundada no direito comum, não há porque estender-se o pedido contra as pessoas físicas integrantes da empresa.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2026-09-10T22:26:45.044Z</dcterms:created>
  <dcterms:modified xsi:type="dcterms:W3CDTF">2026-09-10T22:26:45.044Z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