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36.753-0-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/>
    <w:p>
      <w:r>
        <w:t xml:space="preserve">INCIDÊNCIA SOBRE O PREPONENTE — ORIENTAÇÃO EM SENTIDO CONTRÁRIO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............................................................................................................................................ - Embora se trate de matéria ainda controvertida, adota-se o entendimento no sentido de que, "nas indenizações decorrentes de ato ilícito, os juros compostos não incidem sobre o preponente, suportando-os apenas o responsável pelo crime (Código Civil, art. 1.544)" (STJ-Corte Especial: RSTJ 32/211 e 38/385, maioria). Neste sentido: STJ-3ª Turma, REsp 36.753-0-SP, Rel. Min. Cláudio Santos, j. 21.9.93, deram provimento parcial, v.u., DJU 18.10.93, p. 21.877, 2ª col., em.) (THEOTONIO NEGRÃO, "Código de Processo Civil e legislação processual em vigor", ed. Saraiva, 1995, pág. 275, nota 7d ao art. 293). - Assim, a apelação dos autores fica parcialmente provida, para deferir a indenização pelo dano moral e o cômputo dos juros moratórios, de 6% ao ano, a partir do evento. Ac. de 31-10-1995 Arquivo do EMFOR, TACSP/N 1.832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se trate de matéria ainda controvertida, adota-se o entendimento no sentido de que, "nas indenizações decorrentes de ato ilícito, os juros compostos não incidem sobre o preponente, suportando-os apenas o responsável pelo crime.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2026-10-26T02:31:42.169Z</dcterms:created>
  <dcterms:modified xsi:type="dcterms:W3CDTF">2026-10-26T02:31:42.169Z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