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Tribunal: </w:t>
      </w:r>
      <w:r>
        <w:t xml:space="preserve">TFR</w:t>
      </w:r>
    </w:p>
    <w:p/>
    <w:p>
      <w:r>
        <w:t xml:space="preserve">INTERPRETAÇÃO DIVERSA DE DISPOSITIVO DE LEI OU DE JULGADO — NÃO CARACTERIZAÇÃO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que não caracteriza má-fé a litigância só porque a parte emprestou a determinado dispositivo de lei ou a determinado julgado, uma interpretação diversa da que neles efetivamente contida ou desafeiçoada ao entendimento que se lhe dá o juízo. - Esse entendimento já foi expresso na AC 107.678, DJ 12-5-88, do TFR, Rel. em. Min. PEDRO ACIOLI, conforme anotado pelo douto Subprocurador-Geral da República ... . Ac. de 27-10-1993 Arquivo do EMFOR - STJ/955 EMFOR 546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caracteriza má-fé a litigância só porque a parte emprestou a determinado dispositivo de lei ou a certo julgado, uma interpretação diversa da que neles efetivamente contida ou desafeiçoada ao entendimento que se lhe dá o juízo.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2026-09-10T22:27:10.122Z</dcterms:created>
  <dcterms:modified xsi:type="dcterms:W3CDTF">2026-09-10T22:27:10.122Z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