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FILHA ÚNICA — INDENIZAÇÃO POR DANO MORAL - FIXAÇÃO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em se tratando de única filha da vítima, evidente está o dano moral, mesmo que não houvesse dependência econômica ou não houvesse ficado provada a relação afetiva, por ser desnecessária tal prova; quanto ao valor da indenização, como já reconhecido jurisprudencialmente aplica-se por analogia o art. 84, § 1º do Código Brasileiro de Telecomunicações que fixa a indenização por dano moral em cem salários mínimos. Ac. de 06-05-1993 Arquivo do EMFOR - TA/2.388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Em se tratando de morte da mãe o dano moral sofrido pela única filha dispensa prova. Para fixação do seu valor aplica-se, por analogia, o art. 84, § 1º do Código Brasileiro de Telecomunicações.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2026-09-10T22:26:57.575Z</dcterms:created>
  <dcterms:modified xsi:type="dcterms:W3CDTF">2026-09-10T22:26:57.575Z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