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59.495-2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RUY ROSADO DE AGUIAR</w:t>
      </w:r>
    </w:p>
    <w:p/>
    <w:p>
      <w:r>
        <w:t xml:space="preserve">INDENIZAÇÃO AOS PAIS — CÁLCULO BASEADO NA IDADE PROVÁVEL DA VÍTIMA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admitiu, expressamente, que a vítima era arrimo de família e que, apesar de já contar 25 anos de idade, continuava a ajudar os seus pais, ora recorrentes. - Nesse caso, a obrigação alimentar da filha em relação aos genitores, que dela necessitam, não encontra limite no tempo, não devendo sofrer igual limitação a indenização devida em virtude do falecimento daquela. - Assim, o melhor entendimento é o que acolhe a idade de 65 anos, tempo provável de sobrevida da vítima, na indenização, conforme vem decidindo esta Corte em diversas oportunidades: "Responsabilidade civil. Morte de filho. Limite de tempo. A jurisprudência hoje predominante na 4ª Turma estende o tempo do pensionamento, devido aos pais de vítima, até a data em que esta completaria 65 anos de idade, se ao tempo da morte já trabalhava e efetivamente contribuía para o sustento da família. Não destoa de tal orientação o acórdão que, atendendo às circunstâncias do fato e à idade das pessoas envolvidas concede a pensão até a data do falecimento da beneficiária. Recurso não conhecido". (REsp nº 59.495-2RS, Rel. Min. RUY ROSADO DE AGUIAR, DJ de 18/12/95). "Responsabilidade civil. Morte de filho menor de idade. Indenização. Termo inicial do pensionamento, seu percentual sobre o salário mínimo e idade provável da vítima. A partir da decisão proferida nos EREsp nº 28.861-1-PR, a orientação da E. Segunda Seção desta Corte tende a firmar-se no sentido de tomar como esperança de vida, a idade de sessenta e cin co (65) anos. Pensionamento devido desde a data do falecimento da vítima, no percentual de dois terços (2/3) do salário mínimo. Recurso conhecido e provido." (REsp nº 55.029-7-MG, Rel. Min. ANTÔNIO TORREÃO BRAZ, DJ de 26/02/96) "Ato ilícito. Termo final. Orienta-se a jurisprudência deste Tribunal no sentido de que a pensão, em caso de morte, será devida até a idade em que a vítima completaria 65 anos, se esta prestava auxílio à família. Recurso especial conhecido e provido." (REsp nº 40.187-9-MG, Rel. Min. EDUARDO RIBEIRO, DJ de 28/11/94) "Civil - Ação de indenização - Morte decorrente de acidente de trânsito - Ato ilícito relativo - Responsabilidade contratual - Valor fixado em salário mínimo - Termo final até a idade provável da vítima - 65 anos - Juros a partir da citação. I - Pacificado na jurisprudência da Segunda Seção do STJ o entendimento no sentido de que, nas famílias humildes, é devida pensão a título de mantença dos pais, quando na companhia destes vivia a vítima e, solteira e maior, lhes prestava ajuda econômica, sendo certo que a idade provável do "de cujus", para efeito de indenização, é de 65 anos. E os juros computar-se-ão a partir da citação inicial (art. 1.536, § 2º, do Código Civil). II - Consolidado, ainda, que o art. 3º, da Lei nº 6.194/74, não foi revogado pelas Leis nºs 6.205/75 e 6.423/77. Daí porque entender-se que, em casos tais, o salário mínimo não pode ser utilizado como fator de atualização monetária, mas como base para apurar-se o "quantum" indenizatório. III - Recurso conhecido e parcialmente provido." (REsp nº 48.377-8-SP, Rel. Min. WALDEMAR ZVEITER, DJ de 05/09/94) "Responsabilidade civil do Estado. Ação de indenização. Ato ilícito. Morte da vítima. I - A pensão a quem a vítima devia alimentos deve corresponder à duração provável da sua vida (65 anos). Não é possível presumir-se que, aos vinte e cinco anos, a vítim a não mais auxiliaria seus pais, prestando-lhes alimentos. Precedentes. II - Dissídio pretoriano configurado. III - Recurso especial conhecido, mas desprovido."(REsp nº 20.509-1-SP, Rel. Min. ANTÔNIO DE PÁDUA RIBEIRO, DJ de 07/02/94). Outro não é o entendimento esposado por IRINEU ANTÔNIO PEDROTTI, "verbis": "Outra questão pode ser enfocada: Um chefe de família com muitos dependentes é auxiliado na manutenção e subsistência de todos, por um dos filhos, solteiro, com bom emprego e com salário que autoriza a contribuição ao lar. Se esse filho é vítima de um crime e vem a falecer, privado do auxílio do filho, o pai e os demais familiares passaram a sofrer dano que deve ser reparado, exatamente porque o auxílio revestia-se de caráter alimentar no sentido amplo que a expressão pode dar. A questão de que o filho não devia os alimentos não pode ser aceita, porque, embora não obrigatório, moralmente os alimentos eram prestados e sem direito qualquer de retorno. Se o filho admitiu em vida essa obrigação e espontaneamente a honrou, como dívida moral, quer por formação religiosa ou não, não poderá a lei priva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Comprovado na instância ordinária que a vítima, apesar de contar com a idade de 25 anos, era trabalhadora e prestava auxílio financeiro a seus pais, devem estes receber indenização, tendo como marco final para o cálculo desta a data em que a vítima completaria 65 anos, idade provável de vida se o acidente fatal não ocorresse, conforme jurisprudência desta Corte.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2026-09-10T22:27:03.690Z</dcterms:created>
  <dcterms:modified xsi:type="dcterms:W3CDTF">2026-09-10T22:27:03.690Z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