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PESSOA JURÍDICA DE DIREITO PÚBLICO</w:t>
      </w:r>
    </w:p>
    <w:p>
      <w:r>
        <w:rPr>
          <w:i/>
          <w:iCs/>
          <w:color w:val="666666"/>
        </w:rPr>
        <w:t xml:space="preserve">INDENIZAÇÃO POR DANOS MORAIS</w:t>
      </w:r>
    </w:p>
    <w:p/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DANO MORAL E MATERIAL — INDENIZAÇÃO DEVIDA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Em relação à alegada ausência de prova de dependência econômica da autora, porque, nos termos da Súmula nº 491-STF (*), é indenizável o acidente que causa a morte de filho menor, ainda que não exerça trabalho remunerado. - Os pais, em tais circunstâncias, têm direito de ser indenizados pela perda de eventuais alimentos que o filho lhes deveria prestar (Código Civil, art. 1.537, II), como é comum em famílias não abastadas. - Quanto ao funeral, porque não havia necessidade de se comprovar, visto que ninguém fica insepulto, competindo aos pais, no caso de morte de filho menor, a realização de tais despesas. - Finalmente, no tocante à cumulação das indenizações por dano material e dano moral, oriundos do mesmo fato, mormente em se tratando de morte prematura de filho, não há como negar-se a incidência da Súmula nº 37 (**) do Colendo Superior Tribunal de Justiça. Ac. de 10-12-1992 Arquivo do EMFOR - TA/2.262 (*) "É indenizável o acidente que cause a morte de filho menor, ainda que não exerça trabalho remunerado". ("EMFOR", Nº 255). (**) "São Cumuláveis as indenizações por dano material e dano moral, oriundos do mesmo fato" ("EMFOR", Nº 525). EMFOR 541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pais do menor morto em conseqüência de ato ilícito têm direito de ser indenizados pela perda de eventuais alimentos que o filho lhes deveria prestar.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2026-06-17T13:59:15.863Z</dcterms:created>
  <dcterms:modified xsi:type="dcterms:W3CDTF">2026-06-17T13:59:15.863Z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