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Tribunal: </w:t>
      </w:r>
      <w:r>
        <w:t xml:space="preserve">TJSP</w:t>
      </w:r>
    </w:p>
    <w:p/>
    <w:p>
      <w:r>
        <w:t xml:space="preserve">INDENIZAÇÃO AOS PAIS — ATÉ QUANDO - BASE DE CÁLCULO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contribuição do filho à economia do lar é fato que ocorre freqüentemente, e a falta dessa contribuição importa em prejuízo, que pode e deve ser reparado pelo autor da lesão (TJSP - RT 207/201). - Em outro julgado proclamou-se: "a circunstância de ser a vítima um menor não retira de seus genitores o direito à indenização pelos lucros cessantes, posto que eventuais, não só porque a presunção é de que o filho de menoridade contribui para a economia familiar, como também porque o direito à indenização não deriva propriamente o jus alimentorum, mas do princípio geral de que todo aquele que por dolo ou culpa causa danos a terceiros está obri gado a prestar-lhe a mais completa reparação" (1º GCC do TJ/DF, in "Da Responsabilidade Civil", José de Aguiar Dias, 7ª. ed., vol. 2, Forense, 1983, pág. 851). - Mais incisivo mostra-se outro aresto: "A circunstância de ser a vítima um menor impúbere não constitui um fato elisivo do direito à indenização, antes demais nada porque, nos lares menos favorecidos, os filhos menores, em regra, contribuem para a economia do lar, ajudando aos pais com o produto do seu trabalho. Mesmo a criança cuja vida é ceifada em idade tenra é sempre uma fonte potencial de alimentos que se estanca, privando os genitores daquela ajuda ou amparo. E se o fato ilícito foi a causa determinante de lesão, não há negar a responsabilidade civil e a obrigação de indenizar o que dela decorre" (AC 6ª CC, TJ/DF, ob. e A. cits., pags. 851/852). Ac. de 26-03-1992 Jurisprudência Catarinense - 1º e 2º Trim. de 1992 - Nº 70 - Pág. 279 EMENTÁRIO FORENSE. Janeiro, 1994. Ano XLVI. Nº 542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rompimento de fio de alta tensão provocado por "fadiga do material" atesta a falta de manutenção da rede de energia elétrica e a conseqüente obrigação da empresa encarregada do setor de indenizar os danos causados por essa omissão. - Presume-se a contribuição do filho menor, solteiro, que mantém atividade lucrativa, à economia do lar, especialmente naquele menos favorecido. Sua morte arrosta prejuízos à família e, uma vez provocada por ato ilícito, obriga o responsável à indenização daí decorrente. - O 13º Salário integra o salário-base e assim deve ser considerado na indenização. - O Fundo de Garantia por Tempo de Serviço - pressuposto do salário que auferia o menor, se vivo estivesse - constitui patrimônio do empregado e, portanto, da família, na sua falta. Deve compor esse fundo o cálculo da pensão a cargo do autor do dano. - A morte de filho menor que auxilia na manutenção do lar, obriga o ofensor a pagar a pensão aos familiares daquele até a idade em que completaria 25 anos, quando, de ordinário, contrairia casamento e ante esse novo encargo cessaria sua ajuda aos pais. Essa obrigação só se estenderia à idade de 65 anos, de sobrevida presumível, se os beneficiários tivessem direito a alimentos ad necessitatem.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2026-06-17T13:59:46.687Z</dcterms:created>
  <dcterms:modified xsi:type="dcterms:W3CDTF">2026-06-17T13:59:46.687Z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