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PESSOA JURÍDICA DE DIREITO PÚBLICO</w:t>
      </w:r>
    </w:p>
    <w:p>
      <w:r>
        <w:rPr>
          <w:i/>
          <w:iCs/>
          <w:color w:val="666666"/>
        </w:rPr>
        <w:t xml:space="preserve">INDENIZAÇÃO POR DANOS MORAIS</w:t>
      </w:r>
    </w:p>
    <w:p/>
    <w:p>
      <w:r>
        <w:rPr>
          <w:b/>
          <w:bCs/>
        </w:rPr>
        <w:t xml:space="preserve">Recurso: </w:t>
      </w:r>
      <w:r>
        <w:t xml:space="preserve">REsp 1.153</w:t>
      </w:r>
    </w:p>
    <w:p>
      <w:r>
        <w:rPr>
          <w:b/>
          <w:bCs/>
        </w:rPr>
        <w:t xml:space="preserve">Tribunal: </w:t>
      </w:r>
      <w:r>
        <w:t xml:space="preserve">STF</w:t>
      </w:r>
    </w:p>
    <w:p/>
    <w:p>
      <w:r>
        <w:t xml:space="preserve">LIMITE NO TEMPO DA INDENIZAÇÃO AOS PROGENITORES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Temos precedentes. Sobre o limite da pensão alimentícia, no REsp 1.153, Sr. Ministro GUEIROS LEITE, que aduziu, em seu voto acolhido à unanimidade: "O limite da pensão a certa idade da vítima, ou seja, até a data em que viesse a completar vinte e cinco anos, encontra apoio na maioria dos julgados, inclusive do STF 119/1220). Presume-se que o filho contribuiria para a economia doméstica até essa idade, passando a constituir sua própria família (RTJ 83/642)." - ........................................... - Conheço do recurso pelo dissídio. Dou parcial provimento para limitar os cálculos da indenização nestes casos, até os prováveis 25 anos da vítima e não pela sua sobrevida. - Sobre o juros moratórios, no REsp 1.516 Sr. Ministro CLÁUDIO SANTOS, com essa ementa: "Responsabilidade Civil. Ato Ilícito. Juros moratórios. Na ação de indenização por ato ilícito (Responsabilidade Civil extracontratual decorrente de acidente ferroviário com pedestre), os juros moratórios são computados a partir da citação inicial. Recurso extraordinário conhecido e provido." Ac. de 14-05-1990 VENCIDOS OS MINISTROS EDUARDO RIBEIRO E WALDEMAR ZVEITER DJ de 4-6-1990 Arquivo do EMFOR - STJ/439 EMFOR 515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limite da pensão a certa idade da vítima, ou seja, até a data em que viesse a completar vinte e cinco anos, encontra apoio na maioria dos julgados, inclusive do STF (RTJ 119/1220). Presume-se que o filho contribuiria para a economia doméstica até essa idade, passando a constituir sua própria família (RTJ 83/642).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RTJ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2026-06-17T16:43:38.915Z</dcterms:created>
  <dcterms:modified xsi:type="dcterms:W3CDTF">2026-06-17T16:43:38.915Z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