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PESSOA JURÍDICA DE DIREITO PÚBLICO</w:t>
      </w:r>
    </w:p>
    <w:p>
      <w:r>
        <w:rPr>
          <w:i/>
          <w:iCs/>
          <w:color w:val="666666"/>
        </w:rPr>
        <w:t xml:space="preserve">INDENIZAÇÃO POR DANOS MORAIS</w:t>
      </w:r>
    </w:p>
    <w:p/>
    <w:p/>
    <w:p>
      <w:r>
        <w:t xml:space="preserve">INDENIZAÇÃO — EM QUE DEVE CONSISTIR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merece acolhida o apelo, para deferir à Apelante as verbas despendidas com tratamento, funeral e luto da vítima e, também para possibilitar-se o recebimento do valor correspondente ao seguro obrigatório uma vez que, pelo exame do documento acostado, fica-se em dúvida sobre ser o mesmo vigia à data do evento. - Por derradeiro, quanto à indenização postulada com base nos artigos 1.537 a 1.540 do Código Civil, e súmulas 490 e 491 do Supremo Tribunal Federal, por tratar-se de menor, que não exercia trabalho remunerado, somente será devida a título de dano moral, a qual arbitra-se em 100 OTN's. Ac. de 27-10-1988 Arquivo do EMFOR - TA/2.137 N. da Red.: V. a primeira parte do acórdão e bem assim o enunciado das Súmulas no st. AUTOMÓVEL neste Número. EMFOR 510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Tratando-se de morte de menor que não exerce trabalho remunerado, a indenização será devida a título de dano moral abrangente do seguro obrigatório e das verbas despendidas com tratamento, funeral e luto. (Ementado EMFOR)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2026-10-26T03:51:00.636Z</dcterms:created>
  <dcterms:modified xsi:type="dcterms:W3CDTF">2026-10-26T03:51:00.636Z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