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DEFENSORIA DATIVA</w:t>
      </w:r>
    </w:p>
    <w:p/>
    <w:p>
      <w:r>
        <w:rPr>
          <w:b/>
          <w:bCs/>
        </w:rPr>
        <w:t xml:space="preserve">Recurso: </w:t>
      </w:r>
      <w:r>
        <w:t xml:space="preserve">REsp 38.360-</w:t>
      </w:r>
    </w:p>
    <w:p/>
    <w:p>
      <w:r>
        <w:t xml:space="preserve">EXTRAVIO DE MERCADORIA — INDENIZAÇÃO LIMITADA QUE NÃO SE RESTRINGE À HIPÓTESE DE ACIDENTE - APLICAÇÃO DO CÓDIGO BRASILEIRO DE AERONÁUTICA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sentença, ainda que equivocadamente, pois limitou-se a recorrer às máximas da experiência, reconheceu a culpa grave, caso em que não há cogitar de limitação de responsabilidade, em face do disposto no art. 248 do Código Brasileiro de Aeronáutica. Sucede que o acórdão não levou em conta este fundamento, sequer apreciando, aliás, a irresignação manifestada na apelação quanto ao ponto. - Com efeito, a sentença foi confirmada por outro fundamento. Deveras, o v. acórdão recorrido arredou a incidência das normas especiais do Código Brasileiro do Ar, fixando-se no entendimento de que a limitação da responsabilidade do transportador aéreo restringe-se à hipótese de acidente, no que não andou bem, data venia. Incidem as normas especiais, na esteira da firme jurisprudência deste Tribunal, e, tal como acentuou o eminente Ministro Eduardo Ribeiro, no percuciente voto que proferiu no REsp nº 38.360-SP, o Código vigente não faz referência a acidente, dizendo simplesmente que a perda, o extravio ou danificação da mercadoria, ocorrida durante o transporte, se sujeita as suas regras, entre elas a que limita a responsabilidade, ressalvadas as hipóteses de que trata o art. 248. - Como enfatizado por Sua Excelência, a lei estabeleceu opção. - Preferindo o expedidor pagar frete normal, sujeitar-se-á à limitação de responsabilidade. Se mais lhe convier contratar de forma diversa, fará declaração especial de valor e arcará com taxa suplementar, deixando de haver a questionada restrição. - Em verdade, a limitação é corolário da responsabilidade objetiva do transportador aéreo, estabelecendo a lei, por isso mesmo, a opção. - ... conheço do recurso, por ambas as alín eas, e lhe dou provimento, restringindo a condenação imposta pela sentença ao pagamento da indenização na forma estabelecida no art. 262 do Código Brasileiro de Aeronáutica. - Custas proporcionalmente distribuídas, devendo a autora arcar com 80% e a ré com 20%, condenada aquela a pagar honorários de advogado a esta, que arbitro, já efetuada a compensação, em 10% do valor da causa, devidamente corrigido. É como voto. Ac. de 08-11-1994 (Reg. nº 93.0026615-2) Revista do Superior Tribunal de Justiça, nº 67, março de 1995, pág. 407 EMENTÁRIO FORENSE. Agosto, 2000. Ano XII. Nº 621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extravio de mercadoria, em transporte aéreo, sujeita-se às regras do Código Brasileiro de Aeronáutica, entre elas a concernente à limitação da responsabilidade do transportador, que não se restringe à hipótese de acidente.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2026-10-26T03:06:13.870Z</dcterms:created>
  <dcterms:modified xsi:type="dcterms:W3CDTF">2026-10-26T03:06:13.870Z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