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ATO ADMINISTRATIVO</w:t>
      </w:r>
    </w:p>
    <w:p>
      <w:r>
        <w:rPr>
          <w:i/>
          <w:iCs/>
          <w:color w:val="666666"/>
        </w:rPr>
        <w:t xml:space="preserve">CONTROLE DO PODER JUDICIÁRIO</w:t>
      </w:r>
    </w:p>
    <w:p/>
    <w:p/>
    <w:p>
      <w:r>
        <w:t xml:space="preserve">02. FUNCIONAMENTO DE — AUTORIZA E INSTITUI A CÉDULA HIPOTECÁRIA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III Art. 29. As hipotecas a que se referem os arts. 9º e 10 e seus incisos, quando não pagas no vencimento, poderão, à escolha do credor, ser objeto de execução na forma do Código de Processo Civil (arts. 298 e 301) ou deste Decreto-lei (arts. 31 a 38). (v. Código de 1939) Parágrafo único. A falta de pagamento do principal, no todo ou em parte, ou de qualquer parcela de juros, nas épocas próprias, bem como o descumprimento das obrigações constantes do art. 21, importará, automaticamente, salvo disposição diversa do contrato de hipoteca em exigibilidade imediata de toda a dívida. Art. 30. Para os efeitos de exercício da opção do art. 29, será agente fiduciário, com as funções determinadas nos arts. 31 a 38: I - nas hipotecas compreendidas no Sistema Financeiro da Habitação, o Banco Nacional da Habitação; II - nas demais, as instituições financeiras inclusive sociedades de crédito imobiliário, credenciadas a tanto pelo Banco Central da República do Brasil, nas condições que o Conselho Monetário Nacional venha a autorizar. (O Banco Central da República do Brasil passou a denominar-se Banco Central do Brasil: Decreto-lei nº 278, de 28 de fevereiro de 1967) § 1º O Conselho de Administração do Banco Nacional da Habitação poderá determinar que este exerça as funções de agente fiduciário, conforme o inciso I, diretamente ou através das pessoas jurídicas mencionadas no inciso II, fixando os critérios de atuação delas. § 2º As pessoas jurídicas mencionadas no inciso II, a fim de poderem exercer as funções de agente fiduciário deste Decreto-lei, deverão ter sido escolhidas para tanto, de comum acordo entre o credor e o devedor no contrato originário de hipoteca ou em aditamento ao mesmo, salvo se estiverem agindo em nome do Banco Nacional da Habitação ou nas hipóteses do art. 41. § 3º Os agentes fiduciários não poderão ter ou manter vínculos societários com os credores ou devedores das hi potecas em que sejam envolvidos. § 4º É lícito às partes, em qualquer tempo, substituir o agente fiduciário eleito, em aditamento ao contrato de hipoteca. Art. 31. Vencida e não paga a dívida hipotecária, no todo ou em parte, o credor que houver preferido executá-la de acordo com este Decreto-lei formalizará ao agente fiduciário a solicitação de execução da dívida, instruindo-a com os seguintes documentos: I - o título da dívida devidamente registrado; II - a indicação discriminada do valor das prestações e encargos não pagos; III - o demonstrativo do saldo devedor, discriminando as parcelas relativas a principal, juros, multa e outros encargos contratuais e legais; e IV - cópia dos avisos reclamando pagamento da dívida, expedidos segundo instruções regulamentares relativas ao SFH. (Redação dada ao art. e incisos pela Lei 8.004/90; v. Lei 5.741/71) § 1º Recebida a solicitação da execução da dívida, o agente fiduciário, nos 10 (dez) dias subseqüentes, promoverá a notificação do devedor, por intermédio de Cartório de Títulos e Documentos, concedendo-lhe o prazo de 20 (vinte) dias para a purgação da mora. (redação dada pela Lei 8.004/90) § 2º Quando o devedor se encontrar em lugar incerto ou não sabido, o oficial certificará o fato, cabendo, então, ao agente fiduciário promover a notificação por edital, publicado por 3 (três) dias, pelo menos, em um dos jornais de maior circulação local, ou noutro de comarca de fácil acesso, se no local não houver imprensa diária. (Redação dada pela Lei 8.004/90) Art. 32. Não acudindo o devedor à purgação do débito, o agente fiduciário estará de pleno direito autorizado a publicar editais e a efetuar, no decurso dos 15 (quinze) dias imediatos, o primeiro público leilão do imóvel hipotecado. (v. nota ao art. 31) § 1º Se, no primeiro público leilão, o maior lance obtido for inferior ao saldo devedor no momento, acrescido das despesas constantes do art . 33 mais as do anúncio e contratação da praça, será realizado o segundo público leilão, nos 15 (quinze) dias seguintes, no qual será aceito o maior lance apurado, ainda que inferior à soma das aludidas quantias. § 2º Se o maior lance do segundo público leilão for inferior àquela soma, serão pagas inicialmente as despesas componentes da mesma soma, e a diferença entregue ao credor, que poderá cobrar do devedor, por via executiva, o valor remanescente de seu crédito, sem nenhum direito de retenção ou indenização sobre o imóvel alienado. § 3º Se o lance de alienação do imóvel, em qualquer dos dois públicos leilões, for superior ao total das importâncias referid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2026-07-28T04:14:13.532Z</dcterms:created>
  <dcterms:modified xsi:type="dcterms:W3CDTF">2026-07-28T04:14:13.532Z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