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/>
    <w:p>
      <w:r>
        <w:t xml:space="preserve">MORTE DE PASSAGEIRO — SE RESPONDE O ESTADO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fato, não se pode atribuir responsabilidade ao Estado pela ocorrência de assaltos no interior dos coletivos que trafegam por esta cidade. A se entender assim, todo e qualquer fato criminoso teria como responsável o Estado. As revistas que, ocasionalmente, se verificam nos coletivos, não é fato normal. Haveria necessidade de comprovar-se, tal como quer o apelante, que pouco antes do acontecimento, soldados da PM teriam procedido a uma revista no interior do coletivo, falhando no seu mister, daí a responsabilidade do Estado. - O fato não foi comprovado e não tem a autoridade policial condições de, normalmente, evitar os assaltos ocorridos no interior dos coletivos. Se o local onde ocorreu o crime é perigoso e ali se constatam assaltos, é certo que a autoridade policial, eventualmente e na medida das suas possibilidades, procura reprimi-los. Não se tem, no entanto, como exigir que a autoridade policial coloque um seu agente 24 horas ao dia no interior de cada coletivo para evitar fatos como o que aconteceu. - Não há prova da omissão do Estado, daí confirmar-se a sentença, negando-se provimento ao recurso. Ac. de 12-09-1995 Arquivo do EMFOR - TJ/2.621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Homicídio praticado por assaltantes no interior de coletivo. Ausência do vínculo de responsabilidade do Estado. Não tem a autoridade policial condições de, normalmente, evitar assaltos ocorridos no interior dos coletivos que trafegam nesta cidade.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2026-10-26T03:25:31.674Z</dcterms:created>
  <dcterms:modified xsi:type="dcterms:W3CDTF">2026-10-26T03:25:31.674Z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