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 4.549</w:t>
      </w:r>
    </w:p>
    <w:p/>
    <w:p>
      <w:r>
        <w:t xml:space="preserve">DEMORA NO PAGAMENTO DA DESAPROPRIAÇÃO — DESCABIMENTO DE INDENIZAÇÃO COMPLEMENTAR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demora no pagamento do preço da desapropriação não cabe indenização complementar além dos juros. Referência: Código Civil, art. 1.061; Lei de Desapropriação por Utilidade Pública, arts. 32 e 42 ERE 4.549, de 22.04.42; ERE 40.317, de 18.11.60. RE 12.986 de 15.10.46; RE 40.317, de 14.04.59 (R.T.J. 10/135 e D.J. de 08.08.60, p. 953); RE 50.840, de 30.04.63 (D.J. de 11.07.63, p. 527); RE 52.226, de 30.04.63 (D.J. de 08.08.63, p. 667). DJ 124, de 8 de julho de 1964 - Adendo nº 2 - pág. 2.238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2026-10-26T02:58:22.877Z</dcterms:created>
  <dcterms:modified xsi:type="dcterms:W3CDTF">2026-10-26T02:58:22.877Z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