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ATO DE TERCEIRO</w:t>
      </w:r>
    </w:p>
    <w:p/>
    <w:p/>
    <w:p>
      <w:r>
        <w:t xml:space="preserve">AULA DE EDUCAÇÃO FÍSICA — LESÃO CAUSADA A ALUNO -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Consoante acentuou o julgado, ocorrida a lesão, "surge induvidosa a responsabilidade do Poder Público, ao qual a escola pertence. Na verdade, o ferimento não resultou de uma prática desportiva qualquer, com a participação de jogadores experientes e afeitos à violência do esporte, mas de uma competição realizada como atividade de Educação Física, disciplina obrigatória no curriculum e no interior da escola, cabendo a esta, pela própria natureza do serviço prestado, a obrigação de zelar pela integridade física dos alunos, máxime sendo menores". - Quanto o fato de ter ocorrido ou não excesso ou imprudência por parte do funcionário, para os fins do apelo da Municipalidade, esta questão se apresenta irrelevante, já que a responsabilidade civil das pessoas de Direito Público não depende de prova de culpa, exigindo apenas a realidade do prejuízo injusto. Ac. de 18-04-1989 VENCIDO O DESEMBARGADOR ROQUE KOMATSU Revista dos Tribunais - Abril de 1989 - Vol. 642 - Pág. 105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Evidencia-se a responsabilidade civil do Estado por lesão em aluno de estabelecimento de ensino municipal causada por professor durante partida de futebol realizada em aula de Educação Física.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2026-10-26T01:56:37.414Z</dcterms:created>
  <dcterms:modified xsi:type="dcterms:W3CDTF">2026-10-26T01:56:37.414Z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